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A1BC4" w14:textId="77777777" w:rsidR="00472CFA" w:rsidRDefault="0043790E">
      <w:pPr>
        <w:ind w:left="720"/>
        <w:contextualSpacing/>
        <w:jc w:val="center"/>
      </w:pPr>
      <w:r>
        <w:rPr>
          <w:rFonts w:ascii="Calibri" w:eastAsia="MS Mincho" w:hAnsi="Calibri" w:cs="Arial"/>
          <w:b/>
          <w:bCs/>
          <w:noProof/>
        </w:rPr>
        <w:drawing>
          <wp:inline distT="0" distB="0" distL="0" distR="0" wp14:anchorId="33A5159D" wp14:editId="5F3B0638">
            <wp:extent cx="3047366" cy="1276346"/>
            <wp:effectExtent l="0" t="0" r="634" b="4"/>
            <wp:docPr id="1851436456" name="Image 1" descr="Une image contenant texte, Police, capture d’écran, logo&#10;&#10;Le contenu généré par l’IA peut êtr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3047366" cy="1276346"/>
                    </a:xfrm>
                    <a:prstGeom prst="rect">
                      <a:avLst/>
                    </a:prstGeom>
                    <a:noFill/>
                    <a:ln>
                      <a:noFill/>
                      <a:prstDash/>
                    </a:ln>
                  </pic:spPr>
                </pic:pic>
              </a:graphicData>
            </a:graphic>
          </wp:inline>
        </w:drawing>
      </w:r>
    </w:p>
    <w:p w14:paraId="3A4833CD" w14:textId="77777777" w:rsidR="00472CFA" w:rsidRDefault="00472CFA">
      <w:pPr>
        <w:ind w:left="720"/>
        <w:contextualSpacing/>
        <w:jc w:val="center"/>
        <w:rPr>
          <w:rFonts w:ascii="Calibri" w:eastAsia="MS Mincho" w:hAnsi="Calibri" w:cs="Arial"/>
          <w:b/>
          <w:bCs/>
        </w:rPr>
      </w:pPr>
    </w:p>
    <w:p w14:paraId="7EF81437" w14:textId="77777777" w:rsidR="00472CFA" w:rsidRDefault="00472CFA">
      <w:pPr>
        <w:ind w:left="720"/>
        <w:contextualSpacing/>
        <w:jc w:val="center"/>
        <w:rPr>
          <w:rFonts w:ascii="Calibri" w:eastAsia="MS Mincho" w:hAnsi="Calibri" w:cs="Arial"/>
          <w:b/>
          <w:bCs/>
        </w:rPr>
      </w:pPr>
    </w:p>
    <w:p w14:paraId="0E2C6C88" w14:textId="77777777" w:rsidR="00472CFA" w:rsidRDefault="00472CFA">
      <w:pPr>
        <w:ind w:left="720"/>
        <w:contextualSpacing/>
        <w:jc w:val="center"/>
        <w:rPr>
          <w:rFonts w:ascii="Calibri" w:eastAsia="MS Mincho" w:hAnsi="Calibri" w:cs="Arial"/>
          <w:b/>
          <w:bCs/>
        </w:rPr>
      </w:pPr>
    </w:p>
    <w:p w14:paraId="594C5C45" w14:textId="77777777" w:rsidR="00472CFA" w:rsidRDefault="00472CFA">
      <w:pPr>
        <w:ind w:left="720"/>
        <w:contextualSpacing/>
        <w:jc w:val="center"/>
        <w:rPr>
          <w:rFonts w:ascii="Calibri" w:eastAsia="MS Mincho" w:hAnsi="Calibri" w:cs="Arial"/>
          <w:b/>
          <w:bCs/>
        </w:rPr>
      </w:pPr>
    </w:p>
    <w:p w14:paraId="617CAC1D" w14:textId="77777777" w:rsidR="00472CFA" w:rsidRDefault="0043790E">
      <w:pPr>
        <w:shd w:val="clear" w:color="auto" w:fill="BFBFBF"/>
        <w:ind w:left="720"/>
        <w:contextualSpacing/>
        <w:jc w:val="center"/>
        <w:rPr>
          <w:rFonts w:ascii="Calibri" w:eastAsia="MS Mincho" w:hAnsi="Calibri" w:cs="Arial"/>
          <w:b/>
          <w:bCs/>
          <w:color w:val="000000"/>
          <w:sz w:val="28"/>
          <w:szCs w:val="28"/>
        </w:rPr>
      </w:pPr>
      <w:r>
        <w:rPr>
          <w:rFonts w:ascii="Calibri" w:eastAsia="MS Mincho" w:hAnsi="Calibri" w:cs="Arial"/>
          <w:b/>
          <w:bCs/>
          <w:color w:val="000000"/>
          <w:sz w:val="28"/>
          <w:szCs w:val="28"/>
        </w:rPr>
        <w:t>Accord-cadre à bons de commande multi-attributaire pour la réalisation de missions de maîtrise d’œuvre d’infrastructures et de bâtiments, hors procédure de concours, pour les sites de l’INRAE Antilles-Guyane</w:t>
      </w:r>
    </w:p>
    <w:p w14:paraId="06E3C7B4" w14:textId="77777777" w:rsidR="00472CFA" w:rsidRDefault="00472CFA">
      <w:pPr>
        <w:ind w:left="720"/>
        <w:contextualSpacing/>
        <w:jc w:val="center"/>
        <w:rPr>
          <w:rFonts w:ascii="Calibri" w:eastAsia="MS Mincho" w:hAnsi="Calibri" w:cs="Arial"/>
          <w:b/>
          <w:bCs/>
          <w:color w:val="000000"/>
        </w:rPr>
      </w:pPr>
    </w:p>
    <w:p w14:paraId="6B70FED5" w14:textId="77777777" w:rsidR="00472CFA" w:rsidRDefault="00472CFA">
      <w:pPr>
        <w:ind w:left="720"/>
        <w:contextualSpacing/>
        <w:jc w:val="center"/>
        <w:rPr>
          <w:rFonts w:ascii="Calibri" w:eastAsia="MS Mincho" w:hAnsi="Calibri" w:cs="Arial"/>
          <w:bCs/>
          <w:i/>
          <w:color w:val="000000"/>
        </w:rPr>
      </w:pPr>
    </w:p>
    <w:p w14:paraId="68ED254A" w14:textId="77777777" w:rsidR="00472CFA" w:rsidRDefault="00472CFA">
      <w:pPr>
        <w:rPr>
          <w:rFonts w:ascii="Calibri" w:eastAsia="MS Mincho" w:hAnsi="Calibri" w:cs="Arial"/>
          <w:b/>
          <w:bCs/>
        </w:rPr>
      </w:pPr>
    </w:p>
    <w:p w14:paraId="6CBC8815" w14:textId="77777777" w:rsidR="00472CFA" w:rsidRDefault="00472CFA">
      <w:pPr>
        <w:ind w:left="720"/>
        <w:contextualSpacing/>
        <w:jc w:val="center"/>
        <w:rPr>
          <w:rFonts w:ascii="Calibri" w:eastAsia="MS Mincho" w:hAnsi="Calibri" w:cs="Arial"/>
          <w:b/>
          <w:bCs/>
        </w:rPr>
      </w:pPr>
    </w:p>
    <w:p w14:paraId="17BD85AB" w14:textId="77777777" w:rsidR="00472CFA" w:rsidRDefault="00472CFA">
      <w:pPr>
        <w:ind w:left="720"/>
        <w:contextualSpacing/>
        <w:jc w:val="center"/>
        <w:rPr>
          <w:rFonts w:ascii="Calibri" w:eastAsia="MS Mincho" w:hAnsi="Calibri" w:cs="Arial"/>
          <w:b/>
          <w:bCs/>
        </w:rPr>
      </w:pPr>
    </w:p>
    <w:p w14:paraId="5CBDA44C" w14:textId="77777777" w:rsidR="00472CFA" w:rsidRDefault="00472CFA">
      <w:pPr>
        <w:pBdr>
          <w:top w:val="single" w:sz="4" w:space="1" w:color="000000"/>
          <w:left w:val="single" w:sz="4" w:space="4" w:color="000000"/>
          <w:bottom w:val="single" w:sz="4" w:space="1" w:color="000000"/>
          <w:right w:val="single" w:sz="4" w:space="4" w:color="000000"/>
        </w:pBdr>
        <w:ind w:left="720"/>
        <w:contextualSpacing/>
        <w:jc w:val="center"/>
        <w:rPr>
          <w:rFonts w:ascii="Calibri" w:eastAsia="MS Mincho" w:hAnsi="Calibri" w:cs="Arial"/>
          <w:b/>
          <w:bCs/>
          <w:color w:val="000000"/>
        </w:rPr>
      </w:pPr>
    </w:p>
    <w:p w14:paraId="7254D3C5" w14:textId="77777777" w:rsidR="00472CFA" w:rsidRDefault="00472CFA">
      <w:pPr>
        <w:pBdr>
          <w:top w:val="single" w:sz="4" w:space="1" w:color="000000"/>
          <w:left w:val="single" w:sz="4" w:space="4" w:color="000000"/>
          <w:bottom w:val="single" w:sz="4" w:space="1" w:color="000000"/>
          <w:right w:val="single" w:sz="4" w:space="4" w:color="000000"/>
        </w:pBdr>
        <w:ind w:left="720"/>
        <w:contextualSpacing/>
        <w:jc w:val="center"/>
        <w:rPr>
          <w:rFonts w:ascii="Calibri" w:eastAsia="MS Mincho" w:hAnsi="Calibri" w:cs="Arial"/>
          <w:b/>
          <w:bCs/>
          <w:color w:val="000000"/>
        </w:rPr>
      </w:pPr>
    </w:p>
    <w:p w14:paraId="3B4D1671" w14:textId="77777777" w:rsidR="00472CFA" w:rsidRDefault="00472CFA">
      <w:pPr>
        <w:pBdr>
          <w:top w:val="single" w:sz="4" w:space="1" w:color="000000"/>
          <w:left w:val="single" w:sz="4" w:space="4" w:color="000000"/>
          <w:bottom w:val="single" w:sz="4" w:space="1" w:color="000000"/>
          <w:right w:val="single" w:sz="4" w:space="4" w:color="000000"/>
        </w:pBdr>
        <w:ind w:left="720"/>
        <w:contextualSpacing/>
        <w:jc w:val="center"/>
        <w:rPr>
          <w:rFonts w:ascii="Calibri" w:eastAsia="MS Mincho" w:hAnsi="Calibri" w:cs="Arial"/>
          <w:b/>
          <w:bCs/>
          <w:color w:val="000000"/>
        </w:rPr>
      </w:pPr>
    </w:p>
    <w:p w14:paraId="1762B9DB" w14:textId="77777777" w:rsidR="00472CFA" w:rsidRDefault="0043790E">
      <w:pPr>
        <w:pBdr>
          <w:top w:val="single" w:sz="4" w:space="1" w:color="000000"/>
          <w:left w:val="single" w:sz="4" w:space="4" w:color="000000"/>
          <w:bottom w:val="single" w:sz="4" w:space="1" w:color="000000"/>
          <w:right w:val="single" w:sz="4" w:space="4" w:color="000000"/>
        </w:pBdr>
        <w:ind w:left="720"/>
        <w:contextualSpacing/>
        <w:jc w:val="center"/>
        <w:rPr>
          <w:rFonts w:ascii="Calibri" w:eastAsia="MS Mincho" w:hAnsi="Calibri" w:cs="Arial"/>
          <w:b/>
          <w:bCs/>
          <w:color w:val="000000"/>
          <w:sz w:val="32"/>
          <w:szCs w:val="32"/>
        </w:rPr>
      </w:pPr>
      <w:r>
        <w:rPr>
          <w:rFonts w:ascii="Calibri" w:eastAsia="MS Mincho" w:hAnsi="Calibri" w:cs="Arial"/>
          <w:b/>
          <w:bCs/>
          <w:color w:val="000000"/>
          <w:sz w:val="32"/>
          <w:szCs w:val="32"/>
        </w:rPr>
        <w:t>REGLEMENT DE LA CONSULTATION</w:t>
      </w:r>
    </w:p>
    <w:p w14:paraId="4180C101" w14:textId="77777777" w:rsidR="00472CFA" w:rsidRDefault="00472CFA">
      <w:pPr>
        <w:pBdr>
          <w:top w:val="single" w:sz="4" w:space="1" w:color="000000"/>
          <w:left w:val="single" w:sz="4" w:space="4" w:color="000000"/>
          <w:bottom w:val="single" w:sz="4" w:space="1" w:color="000000"/>
          <w:right w:val="single" w:sz="4" w:space="4" w:color="000000"/>
        </w:pBdr>
        <w:ind w:left="720"/>
        <w:contextualSpacing/>
        <w:jc w:val="center"/>
        <w:rPr>
          <w:rFonts w:ascii="Calibri" w:eastAsia="MS Mincho" w:hAnsi="Calibri" w:cs="Arial"/>
          <w:b/>
          <w:bCs/>
          <w:color w:val="000000"/>
          <w:sz w:val="32"/>
          <w:szCs w:val="32"/>
        </w:rPr>
      </w:pPr>
    </w:p>
    <w:p w14:paraId="037910EB" w14:textId="77777777" w:rsidR="00472CFA" w:rsidRDefault="00472CFA">
      <w:pPr>
        <w:pBdr>
          <w:top w:val="single" w:sz="4" w:space="1" w:color="000000"/>
          <w:left w:val="single" w:sz="4" w:space="4" w:color="000000"/>
          <w:bottom w:val="single" w:sz="4" w:space="1" w:color="000000"/>
          <w:right w:val="single" w:sz="4" w:space="4" w:color="000000"/>
        </w:pBdr>
        <w:ind w:left="720"/>
        <w:contextualSpacing/>
        <w:jc w:val="center"/>
        <w:rPr>
          <w:rFonts w:ascii="Calibri" w:eastAsia="MS Mincho" w:hAnsi="Calibri" w:cs="Arial"/>
          <w:b/>
          <w:bCs/>
          <w:color w:val="000000"/>
          <w:sz w:val="32"/>
          <w:szCs w:val="32"/>
        </w:rPr>
      </w:pPr>
    </w:p>
    <w:p w14:paraId="568ABAC5" w14:textId="77777777" w:rsidR="00472CFA" w:rsidRDefault="00472CFA">
      <w:pPr>
        <w:ind w:left="720"/>
        <w:contextualSpacing/>
        <w:jc w:val="center"/>
        <w:rPr>
          <w:rFonts w:ascii="Calibri" w:eastAsia="MS Mincho" w:hAnsi="Calibri" w:cs="Arial"/>
          <w:b/>
          <w:bCs/>
        </w:rPr>
      </w:pPr>
    </w:p>
    <w:p w14:paraId="232C08A3" w14:textId="77777777" w:rsidR="00472CFA" w:rsidRDefault="00472CFA">
      <w:pPr>
        <w:ind w:left="720"/>
        <w:contextualSpacing/>
        <w:jc w:val="center"/>
        <w:rPr>
          <w:rFonts w:ascii="Calibri" w:eastAsia="MS Mincho" w:hAnsi="Calibri" w:cs="Arial"/>
          <w:b/>
          <w:bCs/>
        </w:rPr>
      </w:pPr>
    </w:p>
    <w:p w14:paraId="6B540C5C" w14:textId="77777777" w:rsidR="00472CFA" w:rsidRDefault="00472CFA">
      <w:pPr>
        <w:ind w:left="720"/>
        <w:contextualSpacing/>
        <w:jc w:val="center"/>
        <w:rPr>
          <w:rFonts w:ascii="Calibri" w:eastAsia="MS Mincho" w:hAnsi="Calibri" w:cs="Arial"/>
          <w:b/>
          <w:bCs/>
        </w:rPr>
      </w:pPr>
    </w:p>
    <w:p w14:paraId="126B19A4" w14:textId="77777777" w:rsidR="00472CFA" w:rsidRDefault="00472CFA">
      <w:pPr>
        <w:ind w:left="720"/>
        <w:contextualSpacing/>
        <w:jc w:val="center"/>
        <w:rPr>
          <w:rFonts w:ascii="Calibri" w:eastAsia="MS Mincho" w:hAnsi="Calibri" w:cs="Arial"/>
          <w:b/>
          <w:bCs/>
        </w:rPr>
      </w:pPr>
    </w:p>
    <w:p w14:paraId="31C35191" w14:textId="77777777" w:rsidR="00472CFA" w:rsidRDefault="00472CFA">
      <w:pPr>
        <w:ind w:left="720"/>
        <w:contextualSpacing/>
        <w:jc w:val="center"/>
        <w:rPr>
          <w:rFonts w:ascii="Calibri" w:eastAsia="MS Mincho" w:hAnsi="Calibri" w:cs="Arial"/>
          <w:b/>
          <w:bCs/>
        </w:rPr>
      </w:pPr>
    </w:p>
    <w:p w14:paraId="2D1CE8DD" w14:textId="77777777" w:rsidR="00472CFA" w:rsidRDefault="00472CFA">
      <w:pPr>
        <w:rPr>
          <w:rFonts w:ascii="Calibri" w:eastAsia="MS Mincho" w:hAnsi="Calibri" w:cs="Arial"/>
          <w:b/>
          <w:bCs/>
        </w:rPr>
      </w:pPr>
    </w:p>
    <w:p w14:paraId="491E412C" w14:textId="77777777" w:rsidR="00472CFA" w:rsidRDefault="00472CFA">
      <w:pPr>
        <w:rPr>
          <w:rFonts w:ascii="Calibri" w:eastAsia="MS Mincho" w:hAnsi="Calibri" w:cs="Arial"/>
          <w:b/>
          <w:bCs/>
          <w:i/>
          <w:color w:val="7F7F7F"/>
          <w:sz w:val="20"/>
          <w:szCs w:val="20"/>
        </w:rPr>
      </w:pPr>
    </w:p>
    <w:p w14:paraId="28B71B7D" w14:textId="77777777" w:rsidR="00472CFA" w:rsidRDefault="00472CFA">
      <w:pPr>
        <w:rPr>
          <w:rFonts w:ascii="Calibri" w:eastAsia="MS Mincho" w:hAnsi="Calibri" w:cs="Arial"/>
          <w:b/>
          <w:bCs/>
          <w:i/>
          <w:color w:val="7F7F7F"/>
          <w:sz w:val="20"/>
          <w:szCs w:val="20"/>
        </w:rPr>
      </w:pPr>
    </w:p>
    <w:p w14:paraId="13A65079" w14:textId="77777777" w:rsidR="00472CFA" w:rsidRDefault="00472CFA">
      <w:pPr>
        <w:pageBreakBefore/>
        <w:suppressAutoHyphens w:val="0"/>
        <w:spacing w:after="160"/>
        <w:rPr>
          <w:rFonts w:ascii="Calibri" w:eastAsia="MS Mincho" w:hAnsi="Calibri" w:cs="Arial"/>
        </w:rPr>
      </w:pPr>
    </w:p>
    <w:p w14:paraId="6E69DF10" w14:textId="77777777" w:rsidR="00472CFA" w:rsidRDefault="00472CFA">
      <w:pPr>
        <w:rPr>
          <w:rFonts w:ascii="Calibri" w:eastAsia="MS Mincho" w:hAnsi="Calibri" w:cs="Arial"/>
        </w:rPr>
      </w:pPr>
    </w:p>
    <w:p w14:paraId="6E9F4FFC" w14:textId="77777777" w:rsidR="00472CFA" w:rsidRDefault="0043790E">
      <w:pPr>
        <w:numPr>
          <w:ilvl w:val="0"/>
          <w:numId w:val="4"/>
        </w:numPr>
        <w:shd w:val="clear" w:color="auto" w:fill="BFBFBF"/>
        <w:spacing w:before="240" w:after="160" w:line="247" w:lineRule="auto"/>
        <w:rPr>
          <w:rFonts w:ascii="Calibri" w:eastAsia="Cambria" w:hAnsi="Calibri" w:cs="Arial (Corps CS)"/>
          <w:b/>
          <w:bCs/>
          <w:caps/>
          <w:color w:val="000000"/>
          <w:sz w:val="24"/>
          <w:szCs w:val="24"/>
        </w:rPr>
      </w:pPr>
      <w:bookmarkStart w:id="0" w:name="_Toc217035152"/>
      <w:r>
        <w:rPr>
          <w:rFonts w:ascii="Calibri" w:eastAsia="Cambria" w:hAnsi="Calibri" w:cs="Arial (Corps CS)"/>
          <w:b/>
          <w:bCs/>
          <w:caps/>
          <w:color w:val="000000"/>
          <w:sz w:val="24"/>
          <w:szCs w:val="24"/>
        </w:rPr>
        <w:t>Objet et étendue de la consultation</w:t>
      </w:r>
      <w:bookmarkEnd w:id="0"/>
    </w:p>
    <w:p w14:paraId="70CC7B64" w14:textId="3D31BC1A" w:rsidR="00472CFA" w:rsidRDefault="0043790E">
      <w:pPr>
        <w:jc w:val="both"/>
        <w:rPr>
          <w:rFonts w:ascii="Calibri" w:eastAsia="MS Mincho" w:hAnsi="Calibri" w:cs="Arial"/>
        </w:rPr>
      </w:pPr>
      <w:r>
        <w:rPr>
          <w:rFonts w:ascii="Calibri" w:eastAsia="MS Mincho" w:hAnsi="Calibri" w:cs="Arial"/>
        </w:rPr>
        <w:t>La présente consultation vise à conclure un accord-cadre à bons de commande multi-</w:t>
      </w:r>
      <w:r w:rsidRPr="00130D29">
        <w:rPr>
          <w:rFonts w:ascii="Calibri" w:eastAsia="MS Mincho" w:hAnsi="Calibri" w:cs="Arial"/>
        </w:rPr>
        <w:t>attributaire</w:t>
      </w:r>
      <w:r w:rsidR="000379C8" w:rsidRPr="00130D29">
        <w:rPr>
          <w:rFonts w:ascii="Calibri" w:eastAsia="MS Mincho" w:hAnsi="Calibri" w:cs="Arial"/>
        </w:rPr>
        <w:t xml:space="preserve"> par procédure d’appel d’offre</w:t>
      </w:r>
      <w:r w:rsidRPr="00130D29">
        <w:rPr>
          <w:rFonts w:ascii="Calibri" w:eastAsia="MS Mincho" w:hAnsi="Calibri" w:cs="Arial"/>
        </w:rPr>
        <w:t xml:space="preserve"> pour des missions de maîtrise d’œuvre relatives aux infrastructures et bâti</w:t>
      </w:r>
      <w:r>
        <w:rPr>
          <w:rFonts w:ascii="Calibri" w:eastAsia="MS Mincho" w:hAnsi="Calibri" w:cs="Arial"/>
        </w:rPr>
        <w:t>ments des sites de l’INRAE Antilles-Guyane. Cet accord-cadre est destiné à encadrer les prestations nécessaires à la conception, la réhabilitation, la rénovation, la construction ou la démolition d’ouvrages, conformément aux objectifs stratégiques de l’INRAE en matière de mise aux normes réglementaires, de sécurisation des ouvrages, de performance énergétique et environnementale, et de valorisation patrimoniale.</w:t>
      </w:r>
    </w:p>
    <w:p w14:paraId="6FA6AD7A" w14:textId="77777777" w:rsidR="00472CFA" w:rsidRDefault="0043790E">
      <w:pPr>
        <w:jc w:val="both"/>
        <w:rPr>
          <w:rFonts w:ascii="Calibri" w:eastAsia="MS Mincho" w:hAnsi="Calibri" w:cs="Arial"/>
        </w:rPr>
      </w:pPr>
      <w:r>
        <w:rPr>
          <w:rFonts w:ascii="Calibri" w:eastAsia="MS Mincho" w:hAnsi="Calibri" w:cs="Arial"/>
        </w:rPr>
        <w:t>Les prestations attendues incluent notamment les études préalables, les phases de conception, la direction de l’exécution des travaux, l’assistance aux opérations de réception, ainsi que les missions complémentaires nécessaires à la réalisation des ouvrages. Ces prestations doivent être exécutées dans le respect des normes techniques, environnementales et réglementaires applicables, ainsi que des objectifs de performance définis par le maître d’ouvrage.</w:t>
      </w:r>
    </w:p>
    <w:p w14:paraId="685A0ECA" w14:textId="77777777" w:rsidR="00472CFA" w:rsidRDefault="0043790E">
      <w:pPr>
        <w:jc w:val="both"/>
        <w:rPr>
          <w:rFonts w:ascii="Calibri" w:eastAsia="MS Mincho" w:hAnsi="Calibri" w:cs="Arial"/>
        </w:rPr>
      </w:pPr>
      <w:r>
        <w:rPr>
          <w:rFonts w:ascii="Calibri" w:eastAsia="MS Mincho" w:hAnsi="Calibri" w:cs="Arial"/>
        </w:rPr>
        <w:t>L’accord-cadre est structuré en deux lots distincts, chacun correspondant à une typologie spécifique de prestations de maîtrise d’œuvre. Les titulaires des lots devront respecter les exigences techniques, réglementaires et environnementales définies dans le CCTP, ainsi que les objectifs de qualité et de performance fixés par l’INRAE Antilles-Guyane.</w:t>
      </w:r>
    </w:p>
    <w:p w14:paraId="61F643C2"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1" w:name="_Toc217035153"/>
      <w:r>
        <w:rPr>
          <w:rFonts w:ascii="Calibri" w:eastAsia="Cambria" w:hAnsi="Calibri" w:cs="Arial (Corps CS)"/>
          <w:b/>
          <w:smallCaps/>
          <w:color w:val="000000"/>
          <w:sz w:val="24"/>
          <w:szCs w:val="24"/>
        </w:rPr>
        <w:t>Objet de la consultation</w:t>
      </w:r>
      <w:bookmarkEnd w:id="1"/>
    </w:p>
    <w:p w14:paraId="3F92444A" w14:textId="77777777" w:rsidR="00472CFA" w:rsidRDefault="0043790E">
      <w:pPr>
        <w:jc w:val="both"/>
        <w:rPr>
          <w:rFonts w:ascii="Calibri" w:eastAsia="MS Mincho" w:hAnsi="Calibri" w:cs="Arial"/>
        </w:rPr>
      </w:pPr>
      <w:r>
        <w:rPr>
          <w:rFonts w:ascii="Calibri" w:eastAsia="MS Mincho" w:hAnsi="Calibri" w:cs="Arial"/>
        </w:rPr>
        <w:t>La consultation porte sur la passation d’un accord-cadre à bons de commande multi-attributaire pour des missions de maîtrise d’œuvre nécessaires à la réalisation de travaux d’infrastructures et de bâtiments sur les sites de l’INRAE Antilles-Guyane. Ces missions incluent la conception, la réhabilitation, la rénovation, la construction ou la démolition d’ouvrages, ainsi que l’assistance aux opérations de réception et pendant la garantie de parfait achèvement.</w:t>
      </w:r>
    </w:p>
    <w:p w14:paraId="6952AA6A" w14:textId="77777777" w:rsidR="00472CFA" w:rsidRDefault="0043790E">
      <w:pPr>
        <w:jc w:val="both"/>
        <w:rPr>
          <w:rFonts w:ascii="Calibri" w:eastAsia="MS Mincho" w:hAnsi="Calibri" w:cs="Arial"/>
        </w:rPr>
      </w:pPr>
      <w:r>
        <w:rPr>
          <w:rFonts w:ascii="Calibri" w:eastAsia="MS Mincho" w:hAnsi="Calibri" w:cs="Arial"/>
        </w:rPr>
        <w:t>Les prestations de maîtrise d’œuvre doivent répondre aux objectifs stratégiques de l’INRAE en matière de mise aux normes réglementaires, de sécurisation des ouvrages, de performance énergétique et environnementale, et de valorisation patrimoniale. Elles s’inscrivent dans une démarche de développement durable et de responsabilité sociétale, intégrant des exigences de qualité architecturale, fonctionnelle et technique.</w:t>
      </w:r>
    </w:p>
    <w:p w14:paraId="2360950D" w14:textId="77777777" w:rsidR="00472CFA" w:rsidRDefault="0043790E">
      <w:pPr>
        <w:jc w:val="both"/>
        <w:rPr>
          <w:rFonts w:ascii="Calibri" w:eastAsia="MS Mincho" w:hAnsi="Calibri" w:cs="Arial"/>
        </w:rPr>
      </w:pPr>
      <w:r>
        <w:rPr>
          <w:rFonts w:ascii="Calibri" w:eastAsia="MS Mincho" w:hAnsi="Calibri" w:cs="Arial"/>
        </w:rPr>
        <w:t>Les prestations sont destinées à répondre aux besoins spécifiques des sites de l’INRAE Antilles-Guyane, incluant les sites de recherche, les exploitations agricoles, les laboratoires, ainsi que les zones d’élevage et de production. Les titulaires devront adapter leurs interventions aux contraintes géographiques et climatiques propres à la région, notamment les risques liés aux conditions tropicales.</w:t>
      </w:r>
    </w:p>
    <w:p w14:paraId="4B42E6D1"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2" w:name="_Toc217035154"/>
      <w:r>
        <w:rPr>
          <w:rFonts w:ascii="Calibri" w:eastAsia="Cambria" w:hAnsi="Calibri" w:cs="Arial (Corps CS)"/>
          <w:b/>
          <w:smallCaps/>
          <w:color w:val="000000"/>
          <w:sz w:val="24"/>
          <w:szCs w:val="24"/>
        </w:rPr>
        <w:t>Type de marché</w:t>
      </w:r>
      <w:bookmarkEnd w:id="2"/>
    </w:p>
    <w:p w14:paraId="609DCA9F" w14:textId="77777777" w:rsidR="00472CFA" w:rsidRDefault="0043790E">
      <w:pPr>
        <w:jc w:val="both"/>
        <w:rPr>
          <w:rFonts w:ascii="Calibri" w:eastAsia="MS Mincho" w:hAnsi="Calibri" w:cs="Arial"/>
        </w:rPr>
      </w:pPr>
      <w:r>
        <w:rPr>
          <w:rFonts w:ascii="Calibri" w:eastAsia="MS Mincho" w:hAnsi="Calibri" w:cs="Arial"/>
        </w:rPr>
        <w:lastRenderedPageBreak/>
        <w:t>Le marché est un accord-cadre à bons de commande multi-attributaire, conclu sans minimum et avec un montant maximum, conformément aux dispositions des articles L.2124-2 et R.2162-1 et suivants du Code de la commande publique. Il s’agit d’un marché public de services, passé selon une procédure d’appel d’offres ouvert, sans négociation.</w:t>
      </w:r>
    </w:p>
    <w:p w14:paraId="207328C7" w14:textId="77777777" w:rsidR="00472CFA" w:rsidRDefault="0043790E">
      <w:pPr>
        <w:jc w:val="both"/>
        <w:rPr>
          <w:rFonts w:ascii="Calibri" w:eastAsia="MS Mincho" w:hAnsi="Calibri" w:cs="Arial"/>
        </w:rPr>
      </w:pPr>
      <w:r>
        <w:rPr>
          <w:rFonts w:ascii="Calibri" w:eastAsia="MS Mincho" w:hAnsi="Calibri" w:cs="Arial"/>
        </w:rPr>
        <w:t>Les prestations de maîtrise d’œuvre couvertes par cet accord-cadre incluent les études préalables, les phases de conception, la direction de l’exécution des travaux, l’assistance aux opérations de réception, ainsi que les missions complémentaires nécessaires à la réalisation des ouvrages. Les bons de commande seront émis au fur et à mesure des besoins identifiés par le maître d’ouvrage, dans le respect des montants maximums fixés pour chaque lot.</w:t>
      </w:r>
    </w:p>
    <w:p w14:paraId="7CF02D29" w14:textId="77777777" w:rsidR="00472CFA" w:rsidRDefault="0043790E">
      <w:pPr>
        <w:jc w:val="both"/>
        <w:rPr>
          <w:rFonts w:ascii="Calibri" w:eastAsia="MS Mincho" w:hAnsi="Calibri" w:cs="Arial"/>
        </w:rPr>
      </w:pPr>
      <w:r>
        <w:rPr>
          <w:rFonts w:ascii="Calibri" w:eastAsia="MS Mincho" w:hAnsi="Calibri" w:cs="Arial"/>
        </w:rPr>
        <w:t>La procédure d’appel d’offres ouvert garantit la transparence, la mise en concurrence et l’égalité de traitement des candidats, conformément aux principes fondamentaux de la commande publique. Les candidats seront sélectionnés sur la base de critères objectifs définis dans le règlement de la consultation, incluant notamment la qualité technique des offres, la pertinence des méthodologies proposées, et la compétitivité financière.</w:t>
      </w:r>
    </w:p>
    <w:p w14:paraId="25017A0D"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3" w:name="_Toc217035155"/>
      <w:r>
        <w:rPr>
          <w:rFonts w:ascii="Calibri" w:eastAsia="Cambria" w:hAnsi="Calibri" w:cs="Arial (Corps CS)"/>
          <w:b/>
          <w:smallCaps/>
          <w:color w:val="000000"/>
          <w:sz w:val="24"/>
          <w:szCs w:val="24"/>
        </w:rPr>
        <w:t>Décomposition en lots</w:t>
      </w:r>
      <w:bookmarkEnd w:id="3"/>
    </w:p>
    <w:p w14:paraId="44B41DD0" w14:textId="77777777" w:rsidR="00472CFA" w:rsidRDefault="0043790E">
      <w:pPr>
        <w:jc w:val="both"/>
        <w:rPr>
          <w:rFonts w:ascii="Calibri" w:eastAsia="MS Mincho" w:hAnsi="Calibri" w:cs="Arial"/>
        </w:rPr>
      </w:pPr>
      <w:r>
        <w:rPr>
          <w:rFonts w:ascii="Calibri" w:eastAsia="MS Mincho" w:hAnsi="Calibri" w:cs="Arial"/>
        </w:rPr>
        <w:t>Le présent accord-cadre est décomposé en deux lots distincts, chacun correspondant à une typologie spécifique de prestations de maîtrise d’œuvre. Cette organisation vise à répondre aux besoins diversifiés du Centre INRAE Antilles-Guyane tout en garantissant une gestion optimale des opérations. Chaque lot fera l’objet d’une attribution distincte, conformément aux dispositions de l’article R.2162-4 du Code de la commande publique, afin de favoriser la concurrence tout en assurant une capacité suffisante pour répondre aux besoins.</w:t>
      </w:r>
    </w:p>
    <w:p w14:paraId="4CE88D47" w14:textId="77777777" w:rsidR="00472CFA" w:rsidRPr="00130D29" w:rsidRDefault="0043790E">
      <w:pPr>
        <w:jc w:val="both"/>
        <w:rPr>
          <w:rFonts w:ascii="Calibri" w:eastAsia="MS Mincho" w:hAnsi="Calibri" w:cs="Arial"/>
        </w:rPr>
      </w:pPr>
      <w:r>
        <w:rPr>
          <w:rFonts w:ascii="Calibri" w:eastAsia="MS Mincho" w:hAnsi="Calibri" w:cs="Arial"/>
        </w:rPr>
        <w:t xml:space="preserve">Le Lot n°1 est dédié aux infrastructures, incluant des travaux de construction neuve, de réhabilitation ou de réutilisation d’ouvrages d’infrastructures. Les prestations concernent notamment les réseaux, les stations d’assainissement des eaux usées, les travaux de désamiantage et de </w:t>
      </w:r>
      <w:r w:rsidRPr="00130D29">
        <w:rPr>
          <w:rFonts w:ascii="Calibri" w:eastAsia="MS Mincho" w:hAnsi="Calibri" w:cs="Arial"/>
        </w:rPr>
        <w:t>démolition, les installations photovoltaïques en toiture ou au sol, ainsi que les travaux de voiries et réseaux divers.</w:t>
      </w:r>
    </w:p>
    <w:p w14:paraId="1080B908" w14:textId="77777777" w:rsidR="00472CFA" w:rsidRDefault="0043790E">
      <w:pPr>
        <w:jc w:val="both"/>
        <w:rPr>
          <w:rFonts w:ascii="Calibri" w:eastAsia="MS Mincho" w:hAnsi="Calibri" w:cs="Arial"/>
        </w:rPr>
      </w:pPr>
      <w:r w:rsidRPr="00130D29">
        <w:rPr>
          <w:rFonts w:ascii="Calibri" w:eastAsia="MS Mincho" w:hAnsi="Calibri" w:cs="Arial"/>
        </w:rPr>
        <w:t>Le Lot n°2 est consacré aux bâtiments, hors procédure de concours, et inclut des travaux tous corps d’état de rénovation, de réhabilitation, de reconstruction et de construction de bâtiments tels que les établissements recevant du public, les bureaux, les laboratoires, les exploitations agricoles et les élevages. Ce lot comprend également des travaux de désamiantage, de démolition et d’installations photovoltaïques en toiture ou au sol.</w:t>
      </w:r>
      <w:r>
        <w:rPr>
          <w:rFonts w:ascii="Calibri" w:eastAsia="MS Mincho" w:hAnsi="Calibri" w:cs="Arial"/>
        </w:rPr>
        <w:t xml:space="preserve"> Les travaux de construction neuve de bâtiments nécessitant une procédure de concours, conformément à l’article R.2172-2 du Code de la commande publique, sont exclus de ce lot.</w:t>
      </w:r>
    </w:p>
    <w:p w14:paraId="35473263" w14:textId="77777777" w:rsidR="00472CFA" w:rsidRDefault="0043790E">
      <w:pPr>
        <w:jc w:val="both"/>
        <w:rPr>
          <w:rFonts w:ascii="Calibri" w:eastAsia="MS Mincho" w:hAnsi="Calibri" w:cs="Arial"/>
        </w:rPr>
      </w:pPr>
      <w:r>
        <w:rPr>
          <w:rFonts w:ascii="Calibri" w:eastAsia="MS Mincho" w:hAnsi="Calibri" w:cs="Arial"/>
        </w:rPr>
        <w:t>Les titulaires des lots devront respecter les exigences techniques, réglementaires et environnementales définies dans le CCTP, ainsi que les objectifs de performance et de qualité fixés par l’INRAE Centre Antilles-Guyane.</w:t>
      </w:r>
    </w:p>
    <w:p w14:paraId="0764C893"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4" w:name="_Toc217035156"/>
      <w:r>
        <w:rPr>
          <w:rFonts w:ascii="Calibri" w:eastAsia="Cambria" w:hAnsi="Calibri" w:cs="Arial (Corps CS)"/>
          <w:b/>
          <w:smallCaps/>
          <w:color w:val="000000"/>
          <w:sz w:val="24"/>
          <w:szCs w:val="24"/>
        </w:rPr>
        <w:t>Classification CPV</w:t>
      </w:r>
      <w:bookmarkEnd w:id="4"/>
    </w:p>
    <w:p w14:paraId="406F6341" w14:textId="77777777" w:rsidR="00472CFA" w:rsidRDefault="0043790E">
      <w:pPr>
        <w:jc w:val="both"/>
        <w:rPr>
          <w:rFonts w:ascii="Calibri" w:eastAsia="MS Mincho" w:hAnsi="Calibri" w:cs="Arial"/>
        </w:rPr>
      </w:pPr>
      <w:r>
        <w:rPr>
          <w:rFonts w:ascii="Calibri" w:eastAsia="MS Mincho" w:hAnsi="Calibri" w:cs="Arial"/>
        </w:rPr>
        <w:t>Le présent accord-cadre est classé sous le code CPV principal 71240000-2, correspondant aux services d’architecture, d’ingénierie et de planification. Ce code reflète la nature des prestations attendues dans le cadre des missions de maîtrise d’œuvre, incluant les études préalables, les phases de conception, la direction de l’exécution des travaux, et l’assistance aux opérations de réception.</w:t>
      </w:r>
    </w:p>
    <w:p w14:paraId="0C3F82C4" w14:textId="77777777" w:rsidR="00472CFA" w:rsidRDefault="0043790E">
      <w:pPr>
        <w:jc w:val="both"/>
        <w:rPr>
          <w:rFonts w:ascii="Calibri" w:eastAsia="MS Mincho" w:hAnsi="Calibri" w:cs="Arial"/>
        </w:rPr>
      </w:pPr>
      <w:r>
        <w:rPr>
          <w:rFonts w:ascii="Calibri" w:eastAsia="MS Mincho" w:hAnsi="Calibri" w:cs="Arial"/>
        </w:rPr>
        <w:lastRenderedPageBreak/>
        <w:t>Les prestations couvertes par cet accord-cadre s’inscrivent dans le domaine de la maîtrise d’œuvre, avec une attention particulière portée à la qualité architecturale, fonctionnelle et technique des ouvrages, ainsi qu’à leur conformité aux normes réglementaires et environnementales. Les titulaires devront démontrer leur expertise dans les domaines de l’architecture, de l’ingénierie et de la planification, en proposant des solutions adaptées aux besoins spécifiques des sites de l’INRAE Antilles-Guyane.</w:t>
      </w:r>
    </w:p>
    <w:p w14:paraId="7B885DFC" w14:textId="77777777" w:rsidR="00472CFA" w:rsidRDefault="0043790E">
      <w:pPr>
        <w:jc w:val="both"/>
        <w:rPr>
          <w:rFonts w:ascii="Calibri" w:eastAsia="MS Mincho" w:hAnsi="Calibri" w:cs="Arial"/>
        </w:rPr>
      </w:pPr>
      <w:r>
        <w:rPr>
          <w:rFonts w:ascii="Calibri" w:eastAsia="MS Mincho" w:hAnsi="Calibri" w:cs="Arial"/>
        </w:rPr>
        <w:t>Le code CPV 71240000-2 est utilisé pour identifier les prestations de maîtrise d’œuvre dans le cadre des marchés publics, conformément aux dispositions du Code de la commande publique. Il permet de garantir une classification claire et précise des prestations, facilitant ainsi la mise en concurrence et la sélection des candidats.</w:t>
      </w:r>
    </w:p>
    <w:p w14:paraId="398A8302" w14:textId="77777777" w:rsidR="00472CFA" w:rsidRDefault="0043790E">
      <w:pPr>
        <w:numPr>
          <w:ilvl w:val="0"/>
          <w:numId w:val="1"/>
        </w:numPr>
        <w:shd w:val="clear" w:color="auto" w:fill="BFBFBF"/>
        <w:spacing w:before="240" w:after="160" w:line="247" w:lineRule="auto"/>
        <w:rPr>
          <w:rFonts w:ascii="Calibri" w:eastAsia="Cambria" w:hAnsi="Calibri" w:cs="Arial (Corps CS)"/>
          <w:b/>
          <w:bCs/>
          <w:caps/>
          <w:color w:val="000000"/>
          <w:sz w:val="24"/>
          <w:szCs w:val="24"/>
        </w:rPr>
      </w:pPr>
      <w:bookmarkStart w:id="5" w:name="_Toc217035157"/>
      <w:r>
        <w:rPr>
          <w:rFonts w:ascii="Calibri" w:eastAsia="Cambria" w:hAnsi="Calibri" w:cs="Arial (Corps CS)"/>
          <w:b/>
          <w:bCs/>
          <w:caps/>
          <w:color w:val="000000"/>
          <w:sz w:val="24"/>
          <w:szCs w:val="24"/>
        </w:rPr>
        <w:t>Cadre juridique et réglementaire</w:t>
      </w:r>
      <w:bookmarkEnd w:id="5"/>
    </w:p>
    <w:p w14:paraId="11D0C450" w14:textId="77777777" w:rsidR="00472CFA" w:rsidRDefault="0043790E">
      <w:pPr>
        <w:jc w:val="both"/>
        <w:rPr>
          <w:rFonts w:ascii="Calibri" w:eastAsia="MS Mincho" w:hAnsi="Calibri" w:cs="Arial"/>
        </w:rPr>
      </w:pPr>
      <w:r>
        <w:rPr>
          <w:rFonts w:ascii="Calibri" w:eastAsia="MS Mincho" w:hAnsi="Calibri" w:cs="Arial"/>
        </w:rPr>
        <w:t>La présente consultation est régie par les dispositions du Code de la commande publique, qui constitue le cadre juridique applicable aux marchés publics. Les stipulations du marché sont également encadrées par les documents contractuels spécifiques, notamment le Cahier des Clauses Administratives Particulières (CCAP), le Cahier des Clauses Techniques Particulières (CCTP), et le Cahier des Clauses Administratives Générales applicables aux marchés publics de maîtrise d’œuvre (CCAG-MOE 2021). Ces documents définissent les droits et obligations des parties, ainsi que les modalités d’exécution des prestations.</w:t>
      </w:r>
    </w:p>
    <w:p w14:paraId="1107E9B6" w14:textId="308D2207" w:rsidR="00472CFA" w:rsidRDefault="0043790E">
      <w:pPr>
        <w:jc w:val="both"/>
        <w:rPr>
          <w:rFonts w:ascii="Calibri" w:eastAsia="MS Mincho" w:hAnsi="Calibri" w:cs="Arial"/>
        </w:rPr>
      </w:pPr>
      <w:r>
        <w:rPr>
          <w:rFonts w:ascii="Calibri" w:eastAsia="MS Mincho" w:hAnsi="Calibri" w:cs="Arial"/>
        </w:rPr>
        <w:t>Le cadre réglementaire applicable inclut également les textes relatifs à la réglementation technique et environnementale, tels que le Code de la construction et de l’habitation, le Code de l’environnement, et les normes applicables aux établissements recevant du public (ERP) et aux installations classées pour la protection de l’environnement (ICPE). Les prescriptions locales, telles que les plans locaux d’urbanisme (PLU) et les schémas directeurs, sont également intégrées dans les exigences du marché.</w:t>
      </w:r>
    </w:p>
    <w:p w14:paraId="779DAAE1" w14:textId="77777777" w:rsidR="00472CFA" w:rsidRDefault="0043790E">
      <w:pPr>
        <w:jc w:val="both"/>
        <w:rPr>
          <w:rFonts w:ascii="Calibri" w:eastAsia="MS Mincho" w:hAnsi="Calibri" w:cs="Arial"/>
        </w:rPr>
      </w:pPr>
      <w:r>
        <w:rPr>
          <w:rFonts w:ascii="Calibri" w:eastAsia="MS Mincho" w:hAnsi="Calibri" w:cs="Arial"/>
        </w:rPr>
        <w:t>En cas de contradiction entre les stipulations des pièces contractuelles, celles-ci prévalent dans l’ordre de priorité défini par le CCAG-MOE. Toute difficulté liée à l’application des références légales et réglementaires doit être signalée au pouvoir adjudicateur, qui se réserve le droit de proposer des ajustements par avenant. Le titulaire est tenu de respecter l’ensemble des dispositions légales et réglementaires applicables tout au long de l’exécution des prestations.</w:t>
      </w:r>
    </w:p>
    <w:p w14:paraId="76B169AE"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6" w:name="_Toc217035158"/>
      <w:r>
        <w:rPr>
          <w:rFonts w:ascii="Calibri" w:eastAsia="Cambria" w:hAnsi="Calibri" w:cs="Arial (Corps CS)"/>
          <w:b/>
          <w:smallCaps/>
          <w:color w:val="000000"/>
          <w:sz w:val="24"/>
          <w:szCs w:val="24"/>
        </w:rPr>
        <w:t>Textes applicables</w:t>
      </w:r>
      <w:bookmarkEnd w:id="6"/>
    </w:p>
    <w:p w14:paraId="0F302071" w14:textId="77777777" w:rsidR="00472CFA" w:rsidRDefault="0043790E">
      <w:pPr>
        <w:jc w:val="both"/>
        <w:rPr>
          <w:rFonts w:ascii="Calibri" w:eastAsia="MS Mincho" w:hAnsi="Calibri" w:cs="Arial"/>
        </w:rPr>
      </w:pPr>
      <w:r>
        <w:rPr>
          <w:rFonts w:ascii="Calibri" w:eastAsia="MS Mincho" w:hAnsi="Calibri" w:cs="Arial"/>
        </w:rPr>
        <w:t xml:space="preserve">Les textes applicables à la présente consultation incluent les dispositions du Code de la commande publique, notamment ses </w:t>
      </w:r>
      <w:bookmarkStart w:id="7" w:name="_Hlk223504536"/>
      <w:r>
        <w:rPr>
          <w:rFonts w:ascii="Calibri" w:eastAsia="MS Mincho" w:hAnsi="Calibri" w:cs="Arial"/>
        </w:rPr>
        <w:t>articles L.2124-2 et R.2161-2 à R.2161-5</w:t>
      </w:r>
      <w:bookmarkEnd w:id="7"/>
      <w:r>
        <w:rPr>
          <w:rFonts w:ascii="Calibri" w:eastAsia="MS Mincho" w:hAnsi="Calibri" w:cs="Arial"/>
        </w:rPr>
        <w:t>, relatifs à la procédure d’appel d’offres ouvert. Ces articles définissent les règles de publicité, de mise en concurrence, et d’attribution des marchés publics, garantissant la transparence et l’égalité de traitement des candidats.</w:t>
      </w:r>
    </w:p>
    <w:p w14:paraId="445935A4" w14:textId="77777777" w:rsidR="00472CFA" w:rsidRDefault="0043790E">
      <w:pPr>
        <w:jc w:val="both"/>
        <w:rPr>
          <w:rFonts w:ascii="Calibri" w:eastAsia="MS Mincho" w:hAnsi="Calibri" w:cs="Arial"/>
        </w:rPr>
      </w:pPr>
      <w:r>
        <w:rPr>
          <w:rFonts w:ascii="Calibri" w:eastAsia="MS Mincho" w:hAnsi="Calibri" w:cs="Arial"/>
        </w:rPr>
        <w:t>Le Cahier des Clauses Administratives Générales applicable aux marchés publics de maîtrise d’œuvre (CCAG-MOE 2021), approuvé par l’arrêté du 30 mars 2021, constitue le cadre juridique général des prestations. Il est complété par le Cahier des Clauses Administratives Particulières (CCAP) et le Cahier des Clauses Techniques Particulières (CCTP), qui précisent les modalités spécifiques d’exécution des prestations.</w:t>
      </w:r>
    </w:p>
    <w:p w14:paraId="2D6B9CF6" w14:textId="77777777" w:rsidR="00472CFA" w:rsidRDefault="0043790E">
      <w:pPr>
        <w:jc w:val="both"/>
        <w:rPr>
          <w:rFonts w:ascii="Calibri" w:eastAsia="MS Mincho" w:hAnsi="Calibri" w:cs="Arial"/>
        </w:rPr>
      </w:pPr>
      <w:r>
        <w:rPr>
          <w:rFonts w:ascii="Calibri" w:eastAsia="MS Mincho" w:hAnsi="Calibri" w:cs="Arial"/>
        </w:rPr>
        <w:t xml:space="preserve">Les autres textes de référence incluent l’arrêté du 22 mars 2019 relatif aux données essentielles des marchés publics, ainsi que les réglementations techniques et environnementales applicables, telles que le Code de la </w:t>
      </w:r>
      <w:r>
        <w:rPr>
          <w:rFonts w:ascii="Calibri" w:eastAsia="MS Mincho" w:hAnsi="Calibri" w:cs="Arial"/>
        </w:rPr>
        <w:lastRenderedPageBreak/>
        <w:t>construction et de l’habitation, le Code de l’environnement, et les normes relatives aux ERP et aux ICPE. Les prescriptions locales, telles que les PLU et les schémas directeurs, sont également intégrées dans les exigences du marché.</w:t>
      </w:r>
    </w:p>
    <w:p w14:paraId="14714EAE" w14:textId="77777777" w:rsidR="00472CFA" w:rsidRDefault="0043790E">
      <w:pPr>
        <w:jc w:val="both"/>
        <w:rPr>
          <w:rFonts w:ascii="Calibri" w:eastAsia="MS Mincho" w:hAnsi="Calibri" w:cs="Arial"/>
        </w:rPr>
      </w:pPr>
      <w:r>
        <w:rPr>
          <w:rFonts w:ascii="Calibri" w:eastAsia="MS Mincho" w:hAnsi="Calibri" w:cs="Arial"/>
        </w:rPr>
        <w:t>En cas de contradiction entre les textes applicables et les documents contractuels, ces derniers prévalent dans l’ordre de priorité défini par le CCAG-MOE. Le titulaire est tenu de se conformer à ces textes tout au long de l’exécution des prestations.</w:t>
      </w:r>
    </w:p>
    <w:p w14:paraId="59E41D5C"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8" w:name="_Toc217035159"/>
      <w:r>
        <w:rPr>
          <w:rFonts w:ascii="Calibri" w:eastAsia="Cambria" w:hAnsi="Calibri" w:cs="Arial (Corps CS)"/>
          <w:b/>
          <w:smallCaps/>
          <w:color w:val="000000"/>
          <w:sz w:val="24"/>
          <w:szCs w:val="24"/>
        </w:rPr>
        <w:t>Procédure de passation</w:t>
      </w:r>
      <w:bookmarkEnd w:id="8"/>
    </w:p>
    <w:p w14:paraId="1F473C73" w14:textId="77777777" w:rsidR="00472CFA" w:rsidRDefault="0043790E">
      <w:pPr>
        <w:jc w:val="both"/>
        <w:rPr>
          <w:rFonts w:ascii="Calibri" w:eastAsia="MS Mincho" w:hAnsi="Calibri" w:cs="Arial"/>
        </w:rPr>
      </w:pPr>
      <w:r>
        <w:rPr>
          <w:rFonts w:ascii="Calibri" w:eastAsia="MS Mincho" w:hAnsi="Calibri" w:cs="Arial"/>
        </w:rPr>
        <w:t>La présente consultation est passée selon une procédure d’appel d’offres ouvert, conformément aux dispositions des articles L.2124-2 et R.2161-2 à R.2161-5 du Code de la commande publique. Cette procédure garantit la transparence, la mise en concurrence, et l’égalité de traitement des candidats, tout en permettant une sélection rigoureuse des offres sur la base de critères objectifs.</w:t>
      </w:r>
    </w:p>
    <w:p w14:paraId="0AE6BC15" w14:textId="77777777" w:rsidR="00472CFA" w:rsidRDefault="0043790E">
      <w:pPr>
        <w:jc w:val="both"/>
        <w:rPr>
          <w:rFonts w:ascii="Calibri" w:eastAsia="MS Mincho" w:hAnsi="Calibri" w:cs="Arial"/>
        </w:rPr>
      </w:pPr>
      <w:r>
        <w:rPr>
          <w:rFonts w:ascii="Calibri" w:eastAsia="MS Mincho" w:hAnsi="Calibri" w:cs="Arial"/>
        </w:rPr>
        <w:t>L’appel d’offres ouvert implique que tout opérateur économique intéressé peut soumissionner, sous réserve de respecter les conditions de participation définies dans le règlement de la consultation. Aucune négociation n’est prévue dans le cadre de cette procédure, les offres étant jugées sur la base des éléments remis lors de leur dépôt.</w:t>
      </w:r>
    </w:p>
    <w:p w14:paraId="50CA1CDD" w14:textId="77777777" w:rsidR="00472CFA" w:rsidRDefault="0043790E">
      <w:pPr>
        <w:jc w:val="both"/>
        <w:rPr>
          <w:rFonts w:ascii="Calibri" w:eastAsia="MS Mincho" w:hAnsi="Calibri" w:cs="Arial"/>
        </w:rPr>
      </w:pPr>
      <w:r>
        <w:rPr>
          <w:rFonts w:ascii="Calibri" w:eastAsia="MS Mincho" w:hAnsi="Calibri" w:cs="Arial"/>
        </w:rPr>
        <w:t>Les modalités de publicité et de mise en concurrence sont conformes aux exigences du Code de la commande publique, incluant la publication d’un avis de marché sur le profil d’acheteur et, le cas échéant, au Journal officiel de l’Union européenne (JOUE). Les candidats doivent déposer leurs offres de manière dématérialisée, via la plateforme dédiée, dans les délais impartis.</w:t>
      </w:r>
    </w:p>
    <w:p w14:paraId="74C21CB4" w14:textId="77777777" w:rsidR="00472CFA" w:rsidRDefault="0043790E">
      <w:pPr>
        <w:jc w:val="both"/>
        <w:rPr>
          <w:rFonts w:ascii="Calibri" w:eastAsia="MS Mincho" w:hAnsi="Calibri" w:cs="Arial"/>
        </w:rPr>
      </w:pPr>
      <w:r>
        <w:rPr>
          <w:rFonts w:ascii="Calibri" w:eastAsia="MS Mincho" w:hAnsi="Calibri" w:cs="Arial"/>
        </w:rPr>
        <w:t>Le pouvoir adjudicateur se réserve le droit de rejeter les offres non conformes aux exigences du règlement de la consultation ou de demander des précisions sur les éléments fournis, dans le respect des principes de transparence et d’égalité de traitement.</w:t>
      </w:r>
    </w:p>
    <w:p w14:paraId="55D41E19" w14:textId="77777777" w:rsidR="00472CFA" w:rsidRDefault="0043790E">
      <w:pPr>
        <w:numPr>
          <w:ilvl w:val="0"/>
          <w:numId w:val="1"/>
        </w:numPr>
        <w:shd w:val="clear" w:color="auto" w:fill="BFBFBF"/>
        <w:spacing w:before="240" w:after="160" w:line="247" w:lineRule="auto"/>
        <w:rPr>
          <w:rFonts w:ascii="Calibri" w:eastAsia="Cambria" w:hAnsi="Calibri" w:cs="Arial (Corps CS)"/>
          <w:b/>
          <w:bCs/>
          <w:caps/>
          <w:color w:val="000000"/>
          <w:sz w:val="24"/>
          <w:szCs w:val="24"/>
        </w:rPr>
      </w:pPr>
      <w:bookmarkStart w:id="9" w:name="_Toc217035160"/>
      <w:r>
        <w:rPr>
          <w:rFonts w:ascii="Calibri" w:eastAsia="Cambria" w:hAnsi="Calibri" w:cs="Arial (Corps CS)"/>
          <w:b/>
          <w:bCs/>
          <w:caps/>
          <w:color w:val="000000"/>
          <w:sz w:val="24"/>
          <w:szCs w:val="24"/>
        </w:rPr>
        <w:t>Conditions générales de la consultation</w:t>
      </w:r>
      <w:bookmarkEnd w:id="9"/>
    </w:p>
    <w:p w14:paraId="459396E6" w14:textId="77777777" w:rsidR="00472CFA" w:rsidRDefault="0043790E">
      <w:pPr>
        <w:jc w:val="both"/>
        <w:rPr>
          <w:rFonts w:ascii="Calibri" w:eastAsia="MS Mincho" w:hAnsi="Calibri" w:cs="Arial"/>
        </w:rPr>
      </w:pPr>
      <w:r>
        <w:rPr>
          <w:rFonts w:ascii="Calibri" w:eastAsia="MS Mincho" w:hAnsi="Calibri" w:cs="Arial"/>
        </w:rPr>
        <w:t>Les conditions générales de la consultation définissent les règles applicables à la participation des candidats, à la présentation des offres, et à l’attribution de l’accord-cadre. Ces conditions visent à garantir une mise en concurrence équitable et une sélection rigoureuse des titulaires, conformément aux dispositions du Code de la commande publique.</w:t>
      </w:r>
    </w:p>
    <w:p w14:paraId="4A10CC06" w14:textId="77777777" w:rsidR="00472CFA" w:rsidRDefault="0043790E">
      <w:pPr>
        <w:jc w:val="both"/>
        <w:rPr>
          <w:rFonts w:ascii="Calibri" w:eastAsia="MS Mincho" w:hAnsi="Calibri" w:cs="Arial"/>
        </w:rPr>
      </w:pPr>
      <w:r>
        <w:rPr>
          <w:rFonts w:ascii="Calibri" w:eastAsia="MS Mincho" w:hAnsi="Calibri" w:cs="Arial"/>
        </w:rPr>
        <w:t>L’accord-cadre est conclu sous la forme d’un marché à bons de commande multi-attributaire, sans minimum et avec un montant maximum, conformément aux articles R.2162-1 et suivants du Code de la commande publique. Chaque lot est attribué à un maximum de trois titulaires, afin de garantir une capacité suffisante pour répondre aux besoins du maître d’ouvrage tout en favorisant la concurrence.</w:t>
      </w:r>
    </w:p>
    <w:p w14:paraId="016FCD30" w14:textId="77777777" w:rsidR="00472CFA" w:rsidRDefault="0043790E">
      <w:pPr>
        <w:jc w:val="both"/>
        <w:rPr>
          <w:rFonts w:ascii="Calibri" w:eastAsia="MS Mincho" w:hAnsi="Calibri" w:cs="Arial"/>
        </w:rPr>
      </w:pPr>
      <w:r>
        <w:rPr>
          <w:rFonts w:ascii="Calibri" w:eastAsia="MS Mincho" w:hAnsi="Calibri" w:cs="Arial"/>
        </w:rPr>
        <w:t>Les candidats peuvent se présenter sous forme individuelle ou en groupement. En cas de groupement, celui-ci peut être conjoint ou solidaire, mais le pouvoir adjudicateur se réserve le droit d’exiger la transformation en groupement solidaire lors de l’attribution du marché. Les candidats doivent également respecter les interdictions de soumissionner prévues aux articles L.2141-1 à L.2141-11 du Code de la commande publique.</w:t>
      </w:r>
    </w:p>
    <w:p w14:paraId="391F5718" w14:textId="77777777" w:rsidR="00472CFA" w:rsidRDefault="0043790E">
      <w:pPr>
        <w:jc w:val="both"/>
        <w:rPr>
          <w:rFonts w:ascii="Calibri" w:eastAsia="MS Mincho" w:hAnsi="Calibri" w:cs="Arial"/>
        </w:rPr>
      </w:pPr>
      <w:r>
        <w:rPr>
          <w:rFonts w:ascii="Calibri" w:eastAsia="MS Mincho" w:hAnsi="Calibri" w:cs="Arial"/>
        </w:rPr>
        <w:lastRenderedPageBreak/>
        <w:t>Les modalités d’exécution des prestations sont définies dans les documents contractuels, incluant le CCAP et le CCTP. Les prestations sont réalisées sur la base de bons de commande émis par le maître d’ouvrage, précisant les prestations à réaliser, les délais d’exécution, et les montants associés. Toute modification des prestations ou des délais doit faire l’objet d’un avenant ou d’une décision écrite du maître d’ouvrage.</w:t>
      </w:r>
    </w:p>
    <w:p w14:paraId="025D1774"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10" w:name="_Toc217035161"/>
      <w:r>
        <w:rPr>
          <w:rFonts w:ascii="Calibri" w:eastAsia="Cambria" w:hAnsi="Calibri" w:cs="Arial (Corps CS)"/>
          <w:b/>
          <w:smallCaps/>
          <w:color w:val="000000"/>
          <w:sz w:val="24"/>
          <w:szCs w:val="24"/>
        </w:rPr>
        <w:t>Durée de l’accord-cadre</w:t>
      </w:r>
      <w:bookmarkEnd w:id="10"/>
    </w:p>
    <w:p w14:paraId="48597304" w14:textId="77777777" w:rsidR="00472CFA" w:rsidRDefault="0043790E">
      <w:pPr>
        <w:jc w:val="both"/>
        <w:rPr>
          <w:rFonts w:ascii="Calibri" w:eastAsia="MS Mincho" w:hAnsi="Calibri" w:cs="Arial"/>
        </w:rPr>
      </w:pPr>
      <w:r>
        <w:rPr>
          <w:rFonts w:ascii="Calibri" w:eastAsia="MS Mincho" w:hAnsi="Calibri" w:cs="Arial"/>
        </w:rPr>
        <w:t>La durée initiale de l’accord-cadre est fixée à douze (12) mois, reconductible trois (3) fois par décision expresse du maître d’ouvrage, pour une durée totale maximale de quarante-huit (48) mois. Chaque reconduction est notifiée aux titulaires dans les conditions prévues par le CCAG-MOE 2021.</w:t>
      </w:r>
    </w:p>
    <w:p w14:paraId="2A9E2AF0" w14:textId="77777777" w:rsidR="00472CFA" w:rsidRDefault="0043790E">
      <w:pPr>
        <w:jc w:val="both"/>
        <w:rPr>
          <w:rFonts w:ascii="Calibri" w:eastAsia="MS Mincho" w:hAnsi="Calibri" w:cs="Arial"/>
        </w:rPr>
      </w:pPr>
      <w:r>
        <w:rPr>
          <w:rFonts w:ascii="Calibri" w:eastAsia="MS Mincho" w:hAnsi="Calibri" w:cs="Arial"/>
        </w:rPr>
        <w:t>La reconduction de l’accord-cadre est conditionnée à l’évaluation de la qualité des prestations fournies par les titulaires, ainsi qu’à la satisfaction des objectifs du maître d’ouvrage en termes de délais, de coûts, et de conformité réglementaire. En cas de non-respect des engagements contractuels, le maître d’ouvrage se réserve le droit de ne pas reconduire l’accord-cadre ou de résilier le marché, conformément aux dispositions du CCAG-MOE.</w:t>
      </w:r>
    </w:p>
    <w:p w14:paraId="10E1F270" w14:textId="77777777" w:rsidR="00472CFA" w:rsidRDefault="0043790E">
      <w:pPr>
        <w:jc w:val="both"/>
        <w:rPr>
          <w:rFonts w:ascii="Calibri" w:eastAsia="MS Mincho" w:hAnsi="Calibri" w:cs="Arial"/>
        </w:rPr>
      </w:pPr>
      <w:r>
        <w:rPr>
          <w:rFonts w:ascii="Calibri" w:eastAsia="MS Mincho" w:hAnsi="Calibri" w:cs="Arial"/>
        </w:rPr>
        <w:t>Les titulaires sont informés de la décision de reconduction ou de non-reconduction au moins trois (3) mois avant la fin de la période en cours. En l’absence de notification dans ce délai, l’accord-cadre est réputé reconduit pour une nouvelle période de douze (12) mois, dans la limite de la durée totale maximale de quarante-huit (48) mois.</w:t>
      </w:r>
    </w:p>
    <w:p w14:paraId="471E5D79" w14:textId="77777777" w:rsidR="00472CFA" w:rsidRDefault="0043790E">
      <w:pPr>
        <w:jc w:val="both"/>
        <w:rPr>
          <w:rFonts w:ascii="Calibri" w:eastAsia="MS Mincho" w:hAnsi="Calibri" w:cs="Arial"/>
        </w:rPr>
      </w:pPr>
      <w:r>
        <w:rPr>
          <w:rFonts w:ascii="Calibri" w:eastAsia="MS Mincho" w:hAnsi="Calibri" w:cs="Arial"/>
        </w:rPr>
        <w:t>Les montants maximums par lot sont définis dans les documents particuliers du marché et incluent l’ensemble des prestations de maîtrise d’œuvre réalisées dans le cadre des bons de commande émis par le maître d’ouvrage. Ces montants sont indicatifs et peuvent être ajustés en fonction des besoins identifiés par le maître d’ouvrage, sous réserve de leur conformité aux dispositions du Code de la commande publique.</w:t>
      </w:r>
    </w:p>
    <w:p w14:paraId="72F4B9EE"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11" w:name="_Toc217035162"/>
      <w:r>
        <w:rPr>
          <w:rFonts w:ascii="Calibri" w:eastAsia="Cambria" w:hAnsi="Calibri" w:cs="Arial (Corps CS)"/>
          <w:b/>
          <w:smallCaps/>
          <w:color w:val="000000"/>
          <w:sz w:val="24"/>
          <w:szCs w:val="24"/>
        </w:rPr>
        <w:t>Nombre de titulaires</w:t>
      </w:r>
      <w:bookmarkEnd w:id="11"/>
    </w:p>
    <w:p w14:paraId="318DCA89" w14:textId="77777777" w:rsidR="00472CFA" w:rsidRDefault="0043790E">
      <w:pPr>
        <w:jc w:val="both"/>
        <w:rPr>
          <w:rFonts w:ascii="Calibri" w:eastAsia="MS Mincho" w:hAnsi="Calibri" w:cs="Arial"/>
        </w:rPr>
      </w:pPr>
      <w:r>
        <w:rPr>
          <w:rFonts w:ascii="Calibri" w:eastAsia="MS Mincho" w:hAnsi="Calibri" w:cs="Arial"/>
        </w:rPr>
        <w:t>La présente clause définit le nombre de titulaires pouvant être retenus dans le cadre de l’accord-cadre de maîtrise d’œuvre. Conformément aux dispositions de l’article R.2162-4 du Code de la commande publique, l’accord-cadre est multi-attributaire et sera attribué à un maximum de trois titulaires par lot. Cette disposition vise à garantir une mise en concurrence régulière entre les titulaires pour chaque bon de commande, tout en assurant une capacité suffisante pour répondre aux besoins du maître d’ouvrage.</w:t>
      </w:r>
    </w:p>
    <w:p w14:paraId="279FB2FA" w14:textId="77777777" w:rsidR="00472CFA" w:rsidRDefault="0043790E">
      <w:pPr>
        <w:jc w:val="both"/>
        <w:rPr>
          <w:rFonts w:ascii="Calibri" w:eastAsia="MS Mincho" w:hAnsi="Calibri" w:cs="Arial"/>
        </w:rPr>
      </w:pPr>
      <w:r>
        <w:rPr>
          <w:rFonts w:ascii="Calibri" w:eastAsia="MS Mincho" w:hAnsi="Calibri" w:cs="Arial"/>
        </w:rPr>
        <w:t>Les titulaires seront sélectionnés sur la base des critères de jugement des offres définis dans le présent règlement de la consultation. Chaque titulaire devra démontrer sa capacité à exécuter les prestations de maîtrise d’œuvre conformément aux exigences techniques, réglementaires et environnementales définies dans le Cahier des Clauses Techniques Particulières (CCTP) et le Cahier des Clauses Administratives Particulières (CCAP).</w:t>
      </w:r>
    </w:p>
    <w:p w14:paraId="34A1E60E" w14:textId="492D02D3" w:rsidR="00472CFA" w:rsidRPr="008C3DFF" w:rsidRDefault="0043790E">
      <w:pPr>
        <w:jc w:val="both"/>
        <w:rPr>
          <w:rFonts w:ascii="Calibri" w:eastAsia="MS Mincho" w:hAnsi="Calibri" w:cs="Arial"/>
        </w:rPr>
      </w:pPr>
      <w:r w:rsidRPr="00945A37">
        <w:rPr>
          <w:rFonts w:ascii="Calibri" w:eastAsia="MS Mincho" w:hAnsi="Calibri" w:cs="Arial"/>
        </w:rPr>
        <w:t>En cas de défaillance d’un ou plusieurs titulaires, le maître d’ouvrage se réserve le droit de réduire le nombre de titulaires ou de procéder à une nouvelle consultation pour at</w:t>
      </w:r>
      <w:r w:rsidRPr="008C3DFF">
        <w:rPr>
          <w:rFonts w:ascii="Calibri" w:eastAsia="MS Mincho" w:hAnsi="Calibri" w:cs="Arial"/>
        </w:rPr>
        <w:t xml:space="preserve">tribuer les prestations non couvertes. Les titulaires sont informés que la nature multi-attributaire de l’accord-cadre implique une mise en concurrence systématique pour chaque </w:t>
      </w:r>
      <w:r w:rsidR="00945A37" w:rsidRPr="008C3DFF">
        <w:rPr>
          <w:rFonts w:ascii="Calibri" w:eastAsia="MS Mincho" w:hAnsi="Calibri" w:cs="Arial"/>
        </w:rPr>
        <w:t>projet</w:t>
      </w:r>
      <w:r w:rsidRPr="008C3DFF">
        <w:rPr>
          <w:rFonts w:ascii="Calibri" w:eastAsia="MS Mincho" w:hAnsi="Calibri" w:cs="Arial"/>
        </w:rPr>
        <w:t>, sauf dans les cas où une attribution directe est justifiée par des motifs spécifiques, tels que la continuité des missions ou des compétences particulières.</w:t>
      </w:r>
    </w:p>
    <w:p w14:paraId="42037AA2"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12" w:name="_Toc217035163"/>
      <w:r>
        <w:rPr>
          <w:rFonts w:ascii="Calibri" w:eastAsia="Cambria" w:hAnsi="Calibri" w:cs="Arial (Corps CS)"/>
          <w:b/>
          <w:smallCaps/>
          <w:color w:val="000000"/>
          <w:sz w:val="24"/>
          <w:szCs w:val="24"/>
        </w:rPr>
        <w:lastRenderedPageBreak/>
        <w:t>Modalités d’exécution</w:t>
      </w:r>
      <w:bookmarkEnd w:id="12"/>
    </w:p>
    <w:p w14:paraId="1A8460A3" w14:textId="77777777" w:rsidR="00472CFA" w:rsidRDefault="0043790E">
      <w:pPr>
        <w:jc w:val="both"/>
        <w:rPr>
          <w:rFonts w:ascii="Calibri" w:eastAsia="MS Mincho" w:hAnsi="Calibri" w:cs="Arial"/>
        </w:rPr>
      </w:pPr>
      <w:r>
        <w:rPr>
          <w:rFonts w:ascii="Calibri" w:eastAsia="MS Mincho" w:hAnsi="Calibri" w:cs="Arial"/>
        </w:rPr>
        <w:t>La présente clause établit les modalités d’exécution des prestations dans le cadre de l’accord-cadre de maîtrise d’œuvre. Conformément aux articles R.2162-1 et suivants du Code de la commande publique, l’accord-cadre est exécuté par l’émission de bons de commande, sans minimum et avec un montant maximum fixé pour chaque lot.</w:t>
      </w:r>
    </w:p>
    <w:p w14:paraId="637C0123" w14:textId="5EEB8827" w:rsidR="00472CFA" w:rsidRPr="00130D29" w:rsidRDefault="00130D29">
      <w:pPr>
        <w:jc w:val="both"/>
        <w:rPr>
          <w:rFonts w:ascii="Calibri" w:eastAsia="MS Mincho" w:hAnsi="Calibri" w:cs="Arial"/>
          <w:highlight w:val="yellow"/>
        </w:rPr>
      </w:pPr>
      <w:r w:rsidRPr="00130D29">
        <w:rPr>
          <w:rFonts w:ascii="Calibri" w:eastAsia="MS Mincho" w:hAnsi="Calibri" w:cs="Arial"/>
        </w:rPr>
        <w:t xml:space="preserve">Au bon de commande sera joint le devis du titulaire. </w:t>
      </w:r>
      <w:r w:rsidR="0043790E" w:rsidRPr="00130D29">
        <w:rPr>
          <w:rFonts w:ascii="Calibri" w:eastAsia="MS Mincho" w:hAnsi="Calibri" w:cs="Arial"/>
        </w:rPr>
        <w:t>Les titulaires sont tenus de fournir les prestations conformément aux stipulations contractuelles.</w:t>
      </w:r>
      <w:r w:rsidR="0043790E">
        <w:rPr>
          <w:rFonts w:ascii="Calibri" w:eastAsia="MS Mincho" w:hAnsi="Calibri" w:cs="Arial"/>
        </w:rPr>
        <w:t xml:space="preserve"> Les bons de commande sont émis au fur et à mesure des besoins identifiés par le maître d’ouvrage, dans le respect des montants maximums fixés pour chaque lot.</w:t>
      </w:r>
    </w:p>
    <w:p w14:paraId="27449733" w14:textId="36D6A7F0" w:rsidR="00472CFA" w:rsidRDefault="0043790E">
      <w:pPr>
        <w:jc w:val="both"/>
        <w:rPr>
          <w:rFonts w:ascii="Calibri" w:eastAsia="MS Mincho" w:hAnsi="Calibri" w:cs="Arial"/>
        </w:rPr>
      </w:pPr>
      <w:r>
        <w:rPr>
          <w:rFonts w:ascii="Calibri" w:eastAsia="MS Mincho" w:hAnsi="Calibri" w:cs="Arial"/>
        </w:rPr>
        <w:t xml:space="preserve">La mise en concurrence entre les titulaires est systématique pour chaque bon de commande, sauf dans les cas où une attribution directe est justifiée par des motifs spécifiques, tels que la continuité des missions ou des compétences particulières. Les titulaires sont invités à soumettre une offre dans les délais impartis, en respectant les exigences définies dans le dossier de consultation. </w:t>
      </w:r>
      <w:r w:rsidRPr="00744209">
        <w:rPr>
          <w:rFonts w:ascii="Calibri" w:eastAsia="MS Mincho" w:hAnsi="Calibri" w:cs="Arial"/>
        </w:rPr>
        <w:t xml:space="preserve">Le maître d’ouvrage </w:t>
      </w:r>
      <w:r w:rsidR="00744209">
        <w:rPr>
          <w:rFonts w:ascii="Calibri" w:eastAsia="MS Mincho" w:hAnsi="Calibri" w:cs="Arial"/>
        </w:rPr>
        <w:t xml:space="preserve">et/ou l’AMO </w:t>
      </w:r>
      <w:r w:rsidRPr="00744209">
        <w:rPr>
          <w:rFonts w:ascii="Calibri" w:eastAsia="MS Mincho" w:hAnsi="Calibri" w:cs="Arial"/>
        </w:rPr>
        <w:t>procède à l’analyse des offres reçues, en tenant compte des critères de sélection définis dans le règlement de la consultation.</w:t>
      </w:r>
    </w:p>
    <w:p w14:paraId="7E0CC0DF" w14:textId="6CEA9642" w:rsidR="00744209" w:rsidRPr="00397E9D" w:rsidRDefault="0043790E">
      <w:pPr>
        <w:jc w:val="both"/>
        <w:rPr>
          <w:rFonts w:ascii="Calibri" w:eastAsia="MS Mincho" w:hAnsi="Calibri" w:cs="Arial"/>
        </w:rPr>
      </w:pPr>
      <w:r w:rsidRPr="00397E9D">
        <w:rPr>
          <w:rFonts w:ascii="Calibri" w:eastAsia="MS Mincho" w:hAnsi="Calibri" w:cs="Arial"/>
        </w:rPr>
        <w:t>L</w:t>
      </w:r>
      <w:r w:rsidR="00397E9D" w:rsidRPr="00397E9D">
        <w:rPr>
          <w:rFonts w:ascii="Calibri" w:eastAsia="MS Mincho" w:hAnsi="Calibri" w:cs="Arial"/>
        </w:rPr>
        <w:t>es</w:t>
      </w:r>
      <w:r w:rsidRPr="00397E9D">
        <w:rPr>
          <w:rFonts w:ascii="Calibri" w:eastAsia="MS Mincho" w:hAnsi="Calibri" w:cs="Arial"/>
        </w:rPr>
        <w:t xml:space="preserve"> mise</w:t>
      </w:r>
      <w:r w:rsidR="00397E9D" w:rsidRPr="00397E9D">
        <w:rPr>
          <w:rFonts w:ascii="Calibri" w:eastAsia="MS Mincho" w:hAnsi="Calibri" w:cs="Arial"/>
        </w:rPr>
        <w:t>s</w:t>
      </w:r>
      <w:r w:rsidRPr="00397E9D">
        <w:rPr>
          <w:rFonts w:ascii="Calibri" w:eastAsia="MS Mincho" w:hAnsi="Calibri" w:cs="Arial"/>
        </w:rPr>
        <w:t xml:space="preserve"> en concurrence </w:t>
      </w:r>
      <w:r w:rsidR="00397E9D" w:rsidRPr="00397E9D">
        <w:rPr>
          <w:rFonts w:ascii="Calibri" w:eastAsia="MS Mincho" w:hAnsi="Calibri" w:cs="Arial"/>
        </w:rPr>
        <w:t xml:space="preserve">des titulaires </w:t>
      </w:r>
      <w:r w:rsidRPr="00397E9D">
        <w:rPr>
          <w:rFonts w:ascii="Calibri" w:eastAsia="MS Mincho" w:hAnsi="Calibri" w:cs="Arial"/>
        </w:rPr>
        <w:t>porter</w:t>
      </w:r>
      <w:r w:rsidR="00397E9D" w:rsidRPr="00397E9D">
        <w:rPr>
          <w:rFonts w:ascii="Calibri" w:eastAsia="MS Mincho" w:hAnsi="Calibri" w:cs="Arial"/>
        </w:rPr>
        <w:t>ont</w:t>
      </w:r>
      <w:r w:rsidRPr="00397E9D">
        <w:rPr>
          <w:rFonts w:ascii="Calibri" w:eastAsia="MS Mincho" w:hAnsi="Calibri" w:cs="Arial"/>
        </w:rPr>
        <w:t xml:space="preserve"> sur </w:t>
      </w:r>
      <w:r w:rsidR="00744209" w:rsidRPr="00397E9D">
        <w:rPr>
          <w:rFonts w:ascii="Calibri" w:eastAsia="MS Mincho" w:hAnsi="Calibri" w:cs="Arial"/>
        </w:rPr>
        <w:t xml:space="preserve">les critères suivants : </w:t>
      </w:r>
    </w:p>
    <w:p w14:paraId="3BD64267" w14:textId="25BE45BB" w:rsidR="00744209" w:rsidRPr="00397E9D" w:rsidRDefault="00744209">
      <w:pPr>
        <w:jc w:val="both"/>
        <w:rPr>
          <w:rFonts w:ascii="Calibri" w:eastAsia="MS Mincho" w:hAnsi="Calibri" w:cs="Arial"/>
        </w:rPr>
      </w:pPr>
      <w:bookmarkStart w:id="13" w:name="_GoBack"/>
      <w:bookmarkEnd w:id="13"/>
    </w:p>
    <w:tbl>
      <w:tblPr>
        <w:tblStyle w:val="Grilledutableau"/>
        <w:tblW w:w="0" w:type="auto"/>
        <w:tblLook w:val="04A0" w:firstRow="1" w:lastRow="0" w:firstColumn="1" w:lastColumn="0" w:noHBand="0" w:noVBand="1"/>
      </w:tblPr>
      <w:tblGrid>
        <w:gridCol w:w="5035"/>
        <w:gridCol w:w="5035"/>
      </w:tblGrid>
      <w:tr w:rsidR="00744209" w:rsidRPr="00397E9D" w14:paraId="0ECBB42B" w14:textId="77777777" w:rsidTr="00744209">
        <w:tc>
          <w:tcPr>
            <w:tcW w:w="5035" w:type="dxa"/>
          </w:tcPr>
          <w:p w14:paraId="05715E49" w14:textId="523E3154" w:rsidR="00744209" w:rsidRPr="00397E9D" w:rsidRDefault="00744209" w:rsidP="00397E9D">
            <w:pPr>
              <w:jc w:val="center"/>
              <w:rPr>
                <w:rFonts w:ascii="Calibri" w:eastAsia="MS Mincho" w:hAnsi="Calibri" w:cs="Arial"/>
              </w:rPr>
            </w:pPr>
            <w:r w:rsidRPr="00397E9D">
              <w:rPr>
                <w:rFonts w:ascii="Calibri" w:eastAsia="MS Mincho" w:hAnsi="Calibri" w:cs="Arial"/>
              </w:rPr>
              <w:t>Prix</w:t>
            </w:r>
          </w:p>
        </w:tc>
        <w:tc>
          <w:tcPr>
            <w:tcW w:w="5035" w:type="dxa"/>
          </w:tcPr>
          <w:p w14:paraId="693AC606" w14:textId="15BFFA06" w:rsidR="00744209" w:rsidRPr="00397E9D" w:rsidRDefault="00397E9D" w:rsidP="00397E9D">
            <w:pPr>
              <w:jc w:val="center"/>
              <w:rPr>
                <w:rFonts w:ascii="Calibri" w:eastAsia="MS Mincho" w:hAnsi="Calibri" w:cs="Arial"/>
              </w:rPr>
            </w:pPr>
            <w:r w:rsidRPr="00397E9D">
              <w:rPr>
                <w:rFonts w:ascii="Calibri" w:eastAsia="MS Mincho" w:hAnsi="Calibri" w:cs="Arial"/>
              </w:rPr>
              <w:t>50</w:t>
            </w:r>
            <w:r w:rsidR="00744209" w:rsidRPr="00397E9D">
              <w:rPr>
                <w:rFonts w:ascii="Calibri" w:eastAsia="MS Mincho" w:hAnsi="Calibri" w:cs="Arial"/>
              </w:rPr>
              <w:t>%</w:t>
            </w:r>
          </w:p>
        </w:tc>
      </w:tr>
      <w:tr w:rsidR="00744209" w:rsidRPr="00397E9D" w14:paraId="78AC3A52" w14:textId="77777777" w:rsidTr="00744209">
        <w:tc>
          <w:tcPr>
            <w:tcW w:w="5035" w:type="dxa"/>
          </w:tcPr>
          <w:p w14:paraId="37CB7CE2" w14:textId="40919F07" w:rsidR="00744209" w:rsidRPr="00397E9D" w:rsidRDefault="00744209" w:rsidP="00397E9D">
            <w:pPr>
              <w:jc w:val="center"/>
              <w:rPr>
                <w:rFonts w:ascii="Calibri" w:eastAsia="MS Mincho" w:hAnsi="Calibri" w:cs="Arial"/>
              </w:rPr>
            </w:pPr>
            <w:r w:rsidRPr="00397E9D">
              <w:rPr>
                <w:rFonts w:ascii="Calibri" w:eastAsia="MS Mincho" w:hAnsi="Calibri" w:cs="Arial"/>
              </w:rPr>
              <w:t>Délais</w:t>
            </w:r>
          </w:p>
        </w:tc>
        <w:tc>
          <w:tcPr>
            <w:tcW w:w="5035" w:type="dxa"/>
          </w:tcPr>
          <w:p w14:paraId="1482CAD6" w14:textId="260B147F" w:rsidR="00744209" w:rsidRPr="00397E9D" w:rsidRDefault="00744209" w:rsidP="00397E9D">
            <w:pPr>
              <w:jc w:val="center"/>
              <w:rPr>
                <w:rFonts w:ascii="Calibri" w:eastAsia="MS Mincho" w:hAnsi="Calibri" w:cs="Arial"/>
              </w:rPr>
            </w:pPr>
            <w:r w:rsidRPr="00397E9D">
              <w:rPr>
                <w:rFonts w:ascii="Calibri" w:eastAsia="MS Mincho" w:hAnsi="Calibri" w:cs="Arial"/>
              </w:rPr>
              <w:t>30%</w:t>
            </w:r>
          </w:p>
        </w:tc>
      </w:tr>
      <w:tr w:rsidR="00744209" w:rsidRPr="00397E9D" w14:paraId="6C5C8345" w14:textId="77777777" w:rsidTr="00744209">
        <w:tc>
          <w:tcPr>
            <w:tcW w:w="5035" w:type="dxa"/>
          </w:tcPr>
          <w:p w14:paraId="0246600B" w14:textId="4064F99F" w:rsidR="00744209" w:rsidRPr="00397E9D" w:rsidRDefault="00397E9D" w:rsidP="00397E9D">
            <w:pPr>
              <w:jc w:val="center"/>
              <w:rPr>
                <w:rFonts w:ascii="Calibri" w:eastAsia="MS Mincho" w:hAnsi="Calibri" w:cs="Arial"/>
              </w:rPr>
            </w:pPr>
            <w:r w:rsidRPr="00397E9D">
              <w:rPr>
                <w:rFonts w:ascii="Calibri" w:eastAsia="MS Mincho" w:hAnsi="Calibri" w:cs="Arial"/>
              </w:rPr>
              <w:t>Organisation et performance environnementale appliquée</w:t>
            </w:r>
            <w:r>
              <w:rPr>
                <w:rFonts w:ascii="Calibri" w:eastAsia="MS Mincho" w:hAnsi="Calibri" w:cs="Arial"/>
              </w:rPr>
              <w:t>s</w:t>
            </w:r>
            <w:r w:rsidRPr="00397E9D">
              <w:rPr>
                <w:rFonts w:ascii="Calibri" w:eastAsia="MS Mincho" w:hAnsi="Calibri" w:cs="Arial"/>
              </w:rPr>
              <w:t xml:space="preserve"> au projet</w:t>
            </w:r>
          </w:p>
        </w:tc>
        <w:tc>
          <w:tcPr>
            <w:tcW w:w="5035" w:type="dxa"/>
          </w:tcPr>
          <w:p w14:paraId="60DF2A09" w14:textId="7C41FCB7" w:rsidR="00744209" w:rsidRPr="00397E9D" w:rsidRDefault="00397E9D" w:rsidP="00397E9D">
            <w:pPr>
              <w:jc w:val="center"/>
              <w:rPr>
                <w:rFonts w:ascii="Calibri" w:eastAsia="MS Mincho" w:hAnsi="Calibri" w:cs="Arial"/>
              </w:rPr>
            </w:pPr>
            <w:r w:rsidRPr="00397E9D">
              <w:rPr>
                <w:rFonts w:ascii="Calibri" w:eastAsia="MS Mincho" w:hAnsi="Calibri" w:cs="Arial"/>
              </w:rPr>
              <w:t>20 %</w:t>
            </w:r>
          </w:p>
        </w:tc>
      </w:tr>
    </w:tbl>
    <w:p w14:paraId="0F85E862" w14:textId="77777777" w:rsidR="00744209" w:rsidRDefault="00744209" w:rsidP="00397E9D">
      <w:pPr>
        <w:jc w:val="center"/>
        <w:rPr>
          <w:rFonts w:ascii="Calibri" w:eastAsia="MS Mincho" w:hAnsi="Calibri" w:cs="Arial"/>
          <w:highlight w:val="yellow"/>
        </w:rPr>
      </w:pPr>
    </w:p>
    <w:p w14:paraId="0D694032" w14:textId="77777777" w:rsidR="00472CFA" w:rsidRDefault="0043790E">
      <w:pPr>
        <w:jc w:val="both"/>
        <w:rPr>
          <w:rFonts w:ascii="Calibri" w:eastAsia="MS Mincho" w:hAnsi="Calibri" w:cs="Arial"/>
        </w:rPr>
      </w:pPr>
      <w:r>
        <w:rPr>
          <w:rFonts w:ascii="Calibri" w:eastAsia="MS Mincho" w:hAnsi="Calibri" w:cs="Arial"/>
        </w:rPr>
        <w:t>Le titulaire est tenu de respecter les délais d’exécution mentionnés dans les bons de commande, sauf en cas de force majeure ou de circonstances imprévues dûment justifiées. Toute modification des délais ou des prestations doit faire l’objet d’un avenant ou d’une décision écrite du maître d’ouvrage. Les modalités de gestion des bons de commande, ainsi que les éventuelles pénalités en cas de non-respect, sont précisées dans les documents contractuels annexés au présent CCAP.</w:t>
      </w:r>
    </w:p>
    <w:p w14:paraId="19D06847" w14:textId="77777777" w:rsidR="00472CFA" w:rsidRDefault="0043790E">
      <w:pPr>
        <w:numPr>
          <w:ilvl w:val="0"/>
          <w:numId w:val="1"/>
        </w:numPr>
        <w:shd w:val="clear" w:color="auto" w:fill="BFBFBF"/>
        <w:spacing w:before="240" w:after="160" w:line="247" w:lineRule="auto"/>
        <w:rPr>
          <w:rFonts w:ascii="Calibri" w:eastAsia="Cambria" w:hAnsi="Calibri" w:cs="Arial (Corps CS)"/>
          <w:b/>
          <w:bCs/>
          <w:caps/>
          <w:color w:val="000000"/>
          <w:sz w:val="24"/>
          <w:szCs w:val="24"/>
        </w:rPr>
      </w:pPr>
      <w:bookmarkStart w:id="14" w:name="_Toc217035164"/>
      <w:r>
        <w:rPr>
          <w:rFonts w:ascii="Calibri" w:eastAsia="Cambria" w:hAnsi="Calibri" w:cs="Arial (Corps CS)"/>
          <w:b/>
          <w:bCs/>
          <w:caps/>
          <w:color w:val="000000"/>
          <w:sz w:val="24"/>
          <w:szCs w:val="24"/>
        </w:rPr>
        <w:t>Conditions de participation</w:t>
      </w:r>
      <w:bookmarkEnd w:id="14"/>
    </w:p>
    <w:p w14:paraId="6B3D226A" w14:textId="77777777" w:rsidR="00472CFA" w:rsidRDefault="0043790E">
      <w:pPr>
        <w:jc w:val="both"/>
        <w:rPr>
          <w:rFonts w:ascii="Calibri" w:eastAsia="MS Mincho" w:hAnsi="Calibri" w:cs="Arial"/>
        </w:rPr>
      </w:pPr>
      <w:r>
        <w:rPr>
          <w:rFonts w:ascii="Calibri" w:eastAsia="MS Mincho" w:hAnsi="Calibri" w:cs="Arial"/>
        </w:rPr>
        <w:t>La présente clause définit les conditions de participation à la consultation pour la passation de l’accord-cadre de maîtrise d’œuvre. Les candidats doivent respecter les dispositions du Code de la commande publique, notamment les articles L.2141-1 à L.2141-11 relatifs aux interdictions de soumissionner.</w:t>
      </w:r>
    </w:p>
    <w:p w14:paraId="235E264F" w14:textId="77777777" w:rsidR="00472CFA" w:rsidRDefault="0043790E">
      <w:pPr>
        <w:jc w:val="both"/>
        <w:rPr>
          <w:rFonts w:ascii="Calibri" w:eastAsia="MS Mincho" w:hAnsi="Calibri" w:cs="Arial"/>
        </w:rPr>
      </w:pPr>
      <w:r>
        <w:rPr>
          <w:rFonts w:ascii="Calibri" w:eastAsia="MS Mincho" w:hAnsi="Calibri" w:cs="Arial"/>
        </w:rPr>
        <w:t>Les candidats peuvent se présenter sous forme individuelle ou en groupement d’opérateurs économiques. Les groupements peuvent être conjoints ou solidaires, conformément aux dispositions de l’article R.2142-19 du Code de la commande publique. En cas de groupement conjoint, le mandataire doit être solidaire de chacun des membres pour l’exécution des prestations.</w:t>
      </w:r>
    </w:p>
    <w:p w14:paraId="6DF06A74" w14:textId="77777777" w:rsidR="00472CFA" w:rsidRDefault="0043790E">
      <w:pPr>
        <w:jc w:val="both"/>
        <w:rPr>
          <w:rFonts w:ascii="Calibri" w:eastAsia="MS Mincho" w:hAnsi="Calibri" w:cs="Arial"/>
        </w:rPr>
      </w:pPr>
      <w:r>
        <w:rPr>
          <w:rFonts w:ascii="Calibri" w:eastAsia="MS Mincho" w:hAnsi="Calibri" w:cs="Arial"/>
        </w:rPr>
        <w:lastRenderedPageBreak/>
        <w:t>Les candidats doivent fournir un dossier de candidature complet, incluant les pièces administratives, les capacités économiques et financières, ainsi que les capacités techniques et professionnelles. Les références fournies doivent être adaptées à l’objet du marché et au lot concerné. Les candidats doivent également respecter les exigences spécifiques définies dans le règlement de la consultation, notamment en matière de sous-traitance et de déclaration des moyens humains et matériels.</w:t>
      </w:r>
    </w:p>
    <w:p w14:paraId="3B30E877" w14:textId="77777777" w:rsidR="00472CFA" w:rsidRDefault="0043790E">
      <w:pPr>
        <w:jc w:val="both"/>
        <w:rPr>
          <w:rFonts w:ascii="Calibri" w:eastAsia="MS Mincho" w:hAnsi="Calibri" w:cs="Arial"/>
        </w:rPr>
      </w:pPr>
      <w:r>
        <w:rPr>
          <w:rFonts w:ascii="Calibri" w:eastAsia="MS Mincho" w:hAnsi="Calibri" w:cs="Arial"/>
        </w:rPr>
        <w:t>Les candidats sont informés que toute fausse déclaration ou omission dans les documents fournis peut entraîner leur exclusion de la procédure, conformément aux dispositions du Code de la commande publique. Le maître d’ouvrage se réserve le droit de demander des compléments ou des clarifications sur les pièces transmises.</w:t>
      </w:r>
    </w:p>
    <w:p w14:paraId="5E52EEAD"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15" w:name="_Toc217035165"/>
      <w:r>
        <w:rPr>
          <w:rFonts w:ascii="Calibri" w:eastAsia="Cambria" w:hAnsi="Calibri" w:cs="Arial (Corps CS)"/>
          <w:b/>
          <w:smallCaps/>
          <w:color w:val="000000"/>
          <w:sz w:val="24"/>
          <w:szCs w:val="24"/>
        </w:rPr>
        <w:t>Forme juridique des candidats</w:t>
      </w:r>
      <w:bookmarkEnd w:id="15"/>
    </w:p>
    <w:p w14:paraId="2E9B4DB2" w14:textId="77777777" w:rsidR="00472CFA" w:rsidRDefault="0043790E">
      <w:pPr>
        <w:jc w:val="both"/>
        <w:rPr>
          <w:rFonts w:ascii="Calibri" w:eastAsia="MS Mincho" w:hAnsi="Calibri" w:cs="Arial"/>
        </w:rPr>
      </w:pPr>
      <w:r>
        <w:rPr>
          <w:rFonts w:ascii="Calibri" w:eastAsia="MS Mincho" w:hAnsi="Calibri" w:cs="Arial"/>
        </w:rPr>
        <w:t>La présente clause précise les formes juridiques acceptées pour les candidats à la consultation. Les candidats peuvent se présenter sous forme individuelle ou en groupement d’opérateurs économiques, conformément aux dispositions de l’article R.2142-19 du Code de la commande publique.</w:t>
      </w:r>
    </w:p>
    <w:p w14:paraId="17008041" w14:textId="77777777" w:rsidR="00472CFA" w:rsidRDefault="0043790E">
      <w:pPr>
        <w:jc w:val="both"/>
        <w:rPr>
          <w:rFonts w:ascii="Calibri" w:eastAsia="MS Mincho" w:hAnsi="Calibri" w:cs="Arial"/>
        </w:rPr>
      </w:pPr>
      <w:r>
        <w:rPr>
          <w:rFonts w:ascii="Calibri" w:eastAsia="MS Mincho" w:hAnsi="Calibri" w:cs="Arial"/>
        </w:rPr>
        <w:t>Les groupements peuvent être constitués sous forme conjointe ou solidaire. En cas de groupement conjoint, le mandataire doit être solidaire de chacun des membres pour l’exécution des prestations. Le mandataire est responsable de la coordination des prestations et de la communication avec le maître d’ouvrage. Les membres du groupement doivent fournir une déclaration d’engagement précisant leur rôle et leurs responsabilités dans l’exécution des prestations.</w:t>
      </w:r>
    </w:p>
    <w:p w14:paraId="0945083F" w14:textId="77777777" w:rsidR="00472CFA" w:rsidRDefault="0043790E">
      <w:pPr>
        <w:jc w:val="both"/>
        <w:rPr>
          <w:rFonts w:ascii="Calibri" w:eastAsia="MS Mincho" w:hAnsi="Calibri" w:cs="Arial"/>
        </w:rPr>
      </w:pPr>
      <w:r>
        <w:rPr>
          <w:rFonts w:ascii="Calibri" w:eastAsia="MS Mincho" w:hAnsi="Calibri" w:cs="Arial"/>
        </w:rPr>
        <w:t>Les candidats individuels doivent démontrer leur capacité à exécuter les prestations prévues dans le cadre de l’accord-cadre, en fournissant les pièces administratives, techniques et financières requises. Les groupements doivent également fournir ces pièces pour chacun de leurs membres, ainsi qu’une convention de groupement précisant les modalités de fonctionnement et de répartition des tâches.</w:t>
      </w:r>
    </w:p>
    <w:p w14:paraId="385A0911" w14:textId="77777777" w:rsidR="00472CFA" w:rsidRDefault="0043790E">
      <w:pPr>
        <w:jc w:val="both"/>
        <w:rPr>
          <w:rFonts w:ascii="Calibri" w:eastAsia="MS Mincho" w:hAnsi="Calibri" w:cs="Arial"/>
        </w:rPr>
      </w:pPr>
      <w:r>
        <w:rPr>
          <w:rFonts w:ascii="Calibri" w:eastAsia="MS Mincho" w:hAnsi="Calibri" w:cs="Arial"/>
        </w:rPr>
        <w:t>Le maître d’ouvrage se réserve le droit de demander la transformation d’un groupement conjoint en groupement solidaire après attribution du marché, si cette transformation est nécessaire pour garantir la bonne exécution des prestations. Les candidats sont informés que toute modification de la composition du groupement après la remise des offres est soumise à l’approbation préalable du maître d’ouvrage.</w:t>
      </w:r>
    </w:p>
    <w:p w14:paraId="711AA325"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16" w:name="_Toc217035166"/>
      <w:r>
        <w:rPr>
          <w:rFonts w:ascii="Calibri" w:eastAsia="Cambria" w:hAnsi="Calibri" w:cs="Arial (Corps CS)"/>
          <w:b/>
          <w:smallCaps/>
          <w:color w:val="000000"/>
          <w:sz w:val="24"/>
          <w:szCs w:val="24"/>
        </w:rPr>
        <w:t>Sous-traitance</w:t>
      </w:r>
      <w:bookmarkEnd w:id="16"/>
    </w:p>
    <w:p w14:paraId="25F1B7B5" w14:textId="77777777" w:rsidR="00472CFA" w:rsidRDefault="0043790E">
      <w:pPr>
        <w:jc w:val="both"/>
        <w:rPr>
          <w:rFonts w:ascii="Calibri" w:eastAsia="MS Mincho" w:hAnsi="Calibri" w:cs="Arial"/>
        </w:rPr>
      </w:pPr>
      <w:r>
        <w:rPr>
          <w:rFonts w:ascii="Calibri" w:eastAsia="MS Mincho" w:hAnsi="Calibri" w:cs="Arial"/>
        </w:rPr>
        <w:t>La présente clause définit les conditions et modalités de sous-traitance dans le cadre de l’accord-cadre de maîtrise d’œuvre. Conformément aux articles L.2193-1 et suivants du Code de la commande publique, les candidats peuvent sous-traiter tout ou partie des prestations, sous réserve d’obtenir l’autorisation préalable et écrite du maître d’ouvrage.</w:t>
      </w:r>
    </w:p>
    <w:p w14:paraId="45215892" w14:textId="77777777" w:rsidR="00472CFA" w:rsidRDefault="0043790E">
      <w:pPr>
        <w:jc w:val="both"/>
        <w:rPr>
          <w:rFonts w:ascii="Calibri" w:eastAsia="MS Mincho" w:hAnsi="Calibri" w:cs="Arial"/>
        </w:rPr>
      </w:pPr>
      <w:r>
        <w:rPr>
          <w:rFonts w:ascii="Calibri" w:eastAsia="MS Mincho" w:hAnsi="Calibri" w:cs="Arial"/>
        </w:rPr>
        <w:t>Les candidats doivent déclarer leurs sous-traitants dans leur dossier de candidature, en fournissant une liste détaillée incluant les qualifications, les références, et les prestations qui leur seront confiées. Les sous-traitants doivent également fournir les pièces administratives et techniques requises, conformément aux dispositions du règlement de la consultation. Toute modification de la liste des sous-traitants après la remise des offres est soumise à l’approbation préalable du maître d’ouvrage.</w:t>
      </w:r>
    </w:p>
    <w:p w14:paraId="2B4FAD43" w14:textId="77777777" w:rsidR="00472CFA" w:rsidRDefault="0043790E">
      <w:pPr>
        <w:jc w:val="both"/>
        <w:rPr>
          <w:rFonts w:ascii="Calibri" w:eastAsia="MS Mincho" w:hAnsi="Calibri" w:cs="Arial"/>
        </w:rPr>
      </w:pPr>
      <w:r>
        <w:rPr>
          <w:rFonts w:ascii="Calibri" w:eastAsia="MS Mincho" w:hAnsi="Calibri" w:cs="Arial"/>
        </w:rPr>
        <w:lastRenderedPageBreak/>
        <w:t>Le titulaire reste pleinement responsable de la qualité et de la conformité des prestations réalisées par ses sous-traitants. Toute défaillance d’un sous-traitant engage la responsabilité du titulaire, qui doit prendre toutes les mesures nécessaires pour remédier à la situation. Le maître d’ouvrage se réserve le droit de refuser un sous-traitant si celui-ci ne présente pas les garanties suffisantes en termes de compétences, de moyens, ou de respect des exigences contractuelles.</w:t>
      </w:r>
    </w:p>
    <w:p w14:paraId="2AB69D1C" w14:textId="77777777" w:rsidR="00472CFA" w:rsidRDefault="0043790E">
      <w:pPr>
        <w:jc w:val="both"/>
        <w:rPr>
          <w:rFonts w:ascii="Calibri" w:eastAsia="MS Mincho" w:hAnsi="Calibri" w:cs="Arial"/>
        </w:rPr>
      </w:pPr>
      <w:r>
        <w:rPr>
          <w:rFonts w:ascii="Calibri" w:eastAsia="MS Mincho" w:hAnsi="Calibri" w:cs="Arial"/>
        </w:rPr>
        <w:t>En matière d’assurances, le titulaire doit s’assurer que ses sous-traitants disposent des polices nécessaires pour couvrir leurs propres risques. En cas de sinistre ou de dommage causé par un sous-traitant, le titulaire est tenu d’indemniser le maître d’ouvrage et de prendre toutes les mesures nécessaires pour garantir la continuité des prestations. Toute violation des obligations relatives à la sous-traitance peut entraîner des sanctions, y compris la résiliation du marché.</w:t>
      </w:r>
    </w:p>
    <w:p w14:paraId="3AB616BC"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17" w:name="_Toc217035167"/>
      <w:r>
        <w:rPr>
          <w:rFonts w:ascii="Calibri" w:eastAsia="Cambria" w:hAnsi="Calibri" w:cs="Arial (Corps CS)"/>
          <w:b/>
          <w:smallCaps/>
          <w:color w:val="000000"/>
          <w:sz w:val="24"/>
          <w:szCs w:val="24"/>
        </w:rPr>
        <w:t>Interdictions de soumissionner</w:t>
      </w:r>
      <w:bookmarkEnd w:id="17"/>
    </w:p>
    <w:p w14:paraId="769302C9" w14:textId="77777777" w:rsidR="00472CFA" w:rsidRDefault="0043790E">
      <w:pPr>
        <w:jc w:val="both"/>
        <w:rPr>
          <w:rFonts w:ascii="Calibri" w:eastAsia="MS Mincho" w:hAnsi="Calibri" w:cs="Arial"/>
        </w:rPr>
      </w:pPr>
      <w:r>
        <w:rPr>
          <w:rFonts w:ascii="Calibri" w:eastAsia="MS Mincho" w:hAnsi="Calibri" w:cs="Arial"/>
        </w:rPr>
        <w:t>La présente clause établit les interdictions de soumissionner applicables dans le cadre de la consultation pour l’accord-cadre de maîtrise d’œuvre INRAE Antilles-Guyane, conformément aux dispositions des articles L.2141-1 à L.2141-11 du Code de la commande publique. Ces interdictions visent à garantir la transparence, l’intégrité et la régularité de la procédure de passation.</w:t>
      </w:r>
    </w:p>
    <w:p w14:paraId="00DEC6B8" w14:textId="77777777" w:rsidR="00472CFA" w:rsidRDefault="0043790E">
      <w:pPr>
        <w:jc w:val="both"/>
        <w:rPr>
          <w:rFonts w:ascii="Calibri" w:eastAsia="MS Mincho" w:hAnsi="Calibri" w:cs="Arial"/>
        </w:rPr>
      </w:pPr>
      <w:r>
        <w:rPr>
          <w:rFonts w:ascii="Calibri" w:eastAsia="MS Mincho" w:hAnsi="Calibri" w:cs="Arial"/>
        </w:rPr>
        <w:t>Sont exclus de la présente consultation les candidats qui se trouvent dans l’une des situations suivantes :</w:t>
      </w:r>
    </w:p>
    <w:p w14:paraId="7D7A3152" w14:textId="77777777" w:rsidR="00472CFA" w:rsidRDefault="0043790E">
      <w:pPr>
        <w:numPr>
          <w:ilvl w:val="0"/>
          <w:numId w:val="5"/>
        </w:numPr>
        <w:contextualSpacing/>
        <w:jc w:val="both"/>
        <w:rPr>
          <w:rFonts w:ascii="Calibri" w:eastAsia="MS Mincho" w:hAnsi="Calibri" w:cs="Arial"/>
        </w:rPr>
      </w:pPr>
      <w:r>
        <w:rPr>
          <w:rFonts w:ascii="Calibri" w:eastAsia="MS Mincho" w:hAnsi="Calibri" w:cs="Arial"/>
        </w:rPr>
        <w:t>Les candidats ayant fait l’objet d’une condamnation définitive pour l’une des infractions prévues à l’article L.2141-1 du Code de la commande publique, notamment les infractions relatives à la participation à une organisation criminelle, à la corruption, à la fraude ou au blanchiment de capitaux.</w:t>
      </w:r>
    </w:p>
    <w:p w14:paraId="53C304A2" w14:textId="77777777" w:rsidR="00472CFA" w:rsidRDefault="0043790E">
      <w:pPr>
        <w:numPr>
          <w:ilvl w:val="0"/>
          <w:numId w:val="2"/>
        </w:numPr>
        <w:contextualSpacing/>
        <w:jc w:val="both"/>
        <w:rPr>
          <w:rFonts w:ascii="Calibri" w:eastAsia="MS Mincho" w:hAnsi="Calibri" w:cs="Arial"/>
        </w:rPr>
      </w:pPr>
      <w:r>
        <w:rPr>
          <w:rFonts w:ascii="Calibri" w:eastAsia="MS Mincho" w:hAnsi="Calibri" w:cs="Arial"/>
        </w:rPr>
        <w:t>Les candidats ayant fait l’objet d’une interdiction de soumissionner à des marchés publics prononcée par une décision administrative ou judiciaire, conformément à l’article L.2141-2 du Code de la commande publique.</w:t>
      </w:r>
    </w:p>
    <w:p w14:paraId="7B95AB2A" w14:textId="77777777" w:rsidR="00472CFA" w:rsidRDefault="0043790E">
      <w:pPr>
        <w:numPr>
          <w:ilvl w:val="0"/>
          <w:numId w:val="2"/>
        </w:numPr>
        <w:contextualSpacing/>
        <w:jc w:val="both"/>
        <w:rPr>
          <w:rFonts w:ascii="Calibri" w:eastAsia="MS Mincho" w:hAnsi="Calibri" w:cs="Arial"/>
        </w:rPr>
      </w:pPr>
      <w:r>
        <w:rPr>
          <w:rFonts w:ascii="Calibri" w:eastAsia="MS Mincho" w:hAnsi="Calibri" w:cs="Arial"/>
        </w:rPr>
        <w:t>Les candidats en état de liquidation judiciaire ou faisant l’objet d’une procédure de redressement judiciaire, sauf autorisation expresse du juge compétent permettant la poursuite des activités.</w:t>
      </w:r>
    </w:p>
    <w:p w14:paraId="37D4752D" w14:textId="77777777" w:rsidR="00472CFA" w:rsidRDefault="0043790E">
      <w:pPr>
        <w:numPr>
          <w:ilvl w:val="0"/>
          <w:numId w:val="2"/>
        </w:numPr>
        <w:contextualSpacing/>
        <w:jc w:val="both"/>
        <w:rPr>
          <w:rFonts w:ascii="Calibri" w:eastAsia="MS Mincho" w:hAnsi="Calibri" w:cs="Arial"/>
        </w:rPr>
      </w:pPr>
      <w:r>
        <w:rPr>
          <w:rFonts w:ascii="Calibri" w:eastAsia="MS Mincho" w:hAnsi="Calibri" w:cs="Arial"/>
        </w:rPr>
        <w:t>Les candidats ayant fait l’objet d’une sanction administrative ou judiciaire pour manquement grave à leurs obligations fiscales ou sociales, conformément aux articles L.2141-6 et L.2141-7 du Code de la commande publique.</w:t>
      </w:r>
    </w:p>
    <w:p w14:paraId="6CA01031" w14:textId="77777777" w:rsidR="00472CFA" w:rsidRDefault="0043790E">
      <w:pPr>
        <w:numPr>
          <w:ilvl w:val="0"/>
          <w:numId w:val="2"/>
        </w:numPr>
        <w:contextualSpacing/>
        <w:jc w:val="both"/>
        <w:rPr>
          <w:rFonts w:ascii="Calibri" w:eastAsia="MS Mincho" w:hAnsi="Calibri" w:cs="Arial"/>
        </w:rPr>
      </w:pPr>
      <w:r>
        <w:rPr>
          <w:rFonts w:ascii="Calibri" w:eastAsia="MS Mincho" w:hAnsi="Calibri" w:cs="Arial"/>
        </w:rPr>
        <w:t>Les candidats ayant fourni des renseignements ou des documents faux ou inexacts dans le cadre de la présente consultation, ou ayant tenté d’influencer la procédure de manière frauduleuse.</w:t>
      </w:r>
    </w:p>
    <w:p w14:paraId="539A27A1" w14:textId="77777777" w:rsidR="00472CFA" w:rsidRDefault="0043790E">
      <w:pPr>
        <w:jc w:val="both"/>
        <w:rPr>
          <w:rFonts w:ascii="Calibri" w:eastAsia="MS Mincho" w:hAnsi="Calibri" w:cs="Arial"/>
        </w:rPr>
      </w:pPr>
      <w:r>
        <w:rPr>
          <w:rFonts w:ascii="Calibri" w:eastAsia="MS Mincho" w:hAnsi="Calibri" w:cs="Arial"/>
        </w:rPr>
        <w:t>Les candidats doivent fournir une déclaration sur l’honneur attestant qu’ils ne se trouvent dans aucune des situations d’interdiction de soumissionner mentionnées ci-dessus. Cette déclaration doit être signée par une personne habilitée à engager l’entreprise et annexée au dossier de candidature. En cas de doute sur la véracité des informations fournies, le pouvoir adjudicateur se réserve le droit de demander des justificatifs complémentaires ou de procéder à des vérifications.</w:t>
      </w:r>
    </w:p>
    <w:p w14:paraId="5BEF20D5" w14:textId="77777777" w:rsidR="00472CFA" w:rsidRDefault="0043790E">
      <w:pPr>
        <w:jc w:val="both"/>
        <w:rPr>
          <w:rFonts w:ascii="Calibri" w:eastAsia="MS Mincho" w:hAnsi="Calibri" w:cs="Arial"/>
        </w:rPr>
      </w:pPr>
      <w:r>
        <w:rPr>
          <w:rFonts w:ascii="Calibri" w:eastAsia="MS Mincho" w:hAnsi="Calibri" w:cs="Arial"/>
        </w:rPr>
        <w:t>Tout manquement à cette obligation ou toute constatation d’une situation d’interdiction de soumissionner entraînera l’exclusion immédiate du candidat concerné, sans préjudice des sanctions prévues par la réglementation en vigueur.</w:t>
      </w:r>
    </w:p>
    <w:p w14:paraId="7FCB60F2" w14:textId="77777777" w:rsidR="00472CFA" w:rsidRDefault="0043790E">
      <w:pPr>
        <w:numPr>
          <w:ilvl w:val="0"/>
          <w:numId w:val="1"/>
        </w:numPr>
        <w:shd w:val="clear" w:color="auto" w:fill="BFBFBF"/>
        <w:spacing w:before="240" w:after="160" w:line="247" w:lineRule="auto"/>
        <w:rPr>
          <w:rFonts w:ascii="Calibri" w:eastAsia="Cambria" w:hAnsi="Calibri" w:cs="Arial (Corps CS)"/>
          <w:b/>
          <w:bCs/>
          <w:caps/>
          <w:color w:val="000000"/>
          <w:sz w:val="24"/>
          <w:szCs w:val="24"/>
        </w:rPr>
      </w:pPr>
      <w:bookmarkStart w:id="18" w:name="_Toc217035168"/>
      <w:r>
        <w:rPr>
          <w:rFonts w:ascii="Calibri" w:eastAsia="Cambria" w:hAnsi="Calibri" w:cs="Arial (Corps CS)"/>
          <w:b/>
          <w:bCs/>
          <w:caps/>
          <w:color w:val="000000"/>
          <w:sz w:val="24"/>
          <w:szCs w:val="24"/>
        </w:rPr>
        <w:lastRenderedPageBreak/>
        <w:t>Contenu du dossier de candidature</w:t>
      </w:r>
      <w:bookmarkEnd w:id="18"/>
    </w:p>
    <w:p w14:paraId="38530E63" w14:textId="77777777" w:rsidR="00472CFA" w:rsidRDefault="0043790E">
      <w:pPr>
        <w:jc w:val="both"/>
        <w:rPr>
          <w:rFonts w:ascii="Calibri" w:eastAsia="MS Mincho" w:hAnsi="Calibri" w:cs="Arial"/>
        </w:rPr>
      </w:pPr>
      <w:r>
        <w:rPr>
          <w:rFonts w:ascii="Calibri" w:eastAsia="MS Mincho" w:hAnsi="Calibri" w:cs="Arial"/>
        </w:rPr>
        <w:t>Le dossier de candidature à remettre par les candidats dans le cadre de la présente consultation doit permettre au pouvoir adjudicateur d’évaluer leur capacité à exécuter les prestations de maîtrise d’œuvre prévues dans l’accord-cadre. Ce dossier doit être complet, conforme aux exigences du règlement de la consultation, et structuré selon les éléments détaillés ci-après.</w:t>
      </w:r>
    </w:p>
    <w:p w14:paraId="655BCA26" w14:textId="77777777" w:rsidR="00472CFA" w:rsidRDefault="0043790E">
      <w:pPr>
        <w:jc w:val="both"/>
        <w:rPr>
          <w:rFonts w:ascii="Calibri" w:eastAsia="MS Mincho" w:hAnsi="Calibri" w:cs="Arial"/>
        </w:rPr>
      </w:pPr>
      <w:r>
        <w:rPr>
          <w:rFonts w:ascii="Calibri" w:eastAsia="MS Mincho" w:hAnsi="Calibri" w:cs="Arial"/>
        </w:rPr>
        <w:t>Le dossier de candidature doit inclure les pièces suivantes :</w:t>
      </w:r>
    </w:p>
    <w:p w14:paraId="0D66FA03" w14:textId="77777777" w:rsidR="00472CFA" w:rsidRDefault="0043790E">
      <w:pPr>
        <w:numPr>
          <w:ilvl w:val="0"/>
          <w:numId w:val="6"/>
        </w:numPr>
        <w:contextualSpacing/>
        <w:jc w:val="both"/>
        <w:rPr>
          <w:rFonts w:ascii="Calibri" w:eastAsia="MS Mincho" w:hAnsi="Calibri" w:cs="Arial"/>
        </w:rPr>
      </w:pPr>
      <w:r>
        <w:rPr>
          <w:rFonts w:ascii="Calibri" w:eastAsia="MS Mincho" w:hAnsi="Calibri" w:cs="Arial"/>
        </w:rPr>
        <w:t>Les pièces administratives, permettant de vérifier la régularité de la situation juridique du candidat et sa capacité à soumissionner.</w:t>
      </w:r>
    </w:p>
    <w:p w14:paraId="4291EF46" w14:textId="77777777" w:rsidR="00472CFA" w:rsidRDefault="0043790E">
      <w:pPr>
        <w:numPr>
          <w:ilvl w:val="0"/>
          <w:numId w:val="3"/>
        </w:numPr>
        <w:contextualSpacing/>
        <w:jc w:val="both"/>
        <w:rPr>
          <w:rFonts w:ascii="Calibri" w:eastAsia="MS Mincho" w:hAnsi="Calibri" w:cs="Arial"/>
        </w:rPr>
      </w:pPr>
      <w:r>
        <w:rPr>
          <w:rFonts w:ascii="Calibri" w:eastAsia="MS Mincho" w:hAnsi="Calibri" w:cs="Arial"/>
        </w:rPr>
        <w:t>Les éléments relatifs aux capacités économiques et financières du candidat, démontrant sa solidité financière et sa capacité à mobiliser les ressources nécessaires pour l’exécution des prestations.</w:t>
      </w:r>
    </w:p>
    <w:p w14:paraId="73953462" w14:textId="77777777" w:rsidR="00472CFA" w:rsidRDefault="0043790E">
      <w:pPr>
        <w:numPr>
          <w:ilvl w:val="0"/>
          <w:numId w:val="3"/>
        </w:numPr>
        <w:contextualSpacing/>
        <w:jc w:val="both"/>
        <w:rPr>
          <w:rFonts w:ascii="Calibri" w:eastAsia="MS Mincho" w:hAnsi="Calibri" w:cs="Arial"/>
        </w:rPr>
      </w:pPr>
      <w:r>
        <w:rPr>
          <w:rFonts w:ascii="Calibri" w:eastAsia="MS Mincho" w:hAnsi="Calibri" w:cs="Arial"/>
        </w:rPr>
        <w:t>Les éléments relatifs aux capacités techniques et professionnelles du candidat, incluant notamment des références pertinentes et des moyens humains et matériels adaptés à l’objet du marché.</w:t>
      </w:r>
    </w:p>
    <w:p w14:paraId="3E077948" w14:textId="77777777" w:rsidR="00472CFA" w:rsidRDefault="0043790E">
      <w:pPr>
        <w:jc w:val="both"/>
        <w:rPr>
          <w:rFonts w:ascii="Calibri" w:eastAsia="MS Mincho" w:hAnsi="Calibri" w:cs="Arial"/>
        </w:rPr>
      </w:pPr>
      <w:r>
        <w:rPr>
          <w:rFonts w:ascii="Calibri" w:eastAsia="MS Mincho" w:hAnsi="Calibri" w:cs="Arial"/>
        </w:rPr>
        <w:t>Les candidats doivent veiller à la clarté et à la lisibilité des documents fournis, en respectant les formats et les modalités de présentation définis dans le règlement de la consultation. Toute omission ou non-conformité dans le dossier de candidature peut entraîner son rejet par le pouvoir adjudicateur.</w:t>
      </w:r>
    </w:p>
    <w:p w14:paraId="3FC4855D" w14:textId="77777777" w:rsidR="00472CFA" w:rsidRDefault="0043790E">
      <w:pPr>
        <w:jc w:val="both"/>
        <w:rPr>
          <w:rFonts w:ascii="Calibri" w:eastAsia="MS Mincho" w:hAnsi="Calibri" w:cs="Arial"/>
        </w:rPr>
      </w:pPr>
      <w:r>
        <w:rPr>
          <w:rFonts w:ascii="Calibri" w:eastAsia="MS Mincho" w:hAnsi="Calibri" w:cs="Arial"/>
        </w:rPr>
        <w:t>En cas de groupement, chaque membre du groupement doit fournir les pièces administratives et les éléments relatifs à ses capacités économiques, financières, techniques et professionnelles. Le mandataire du groupement est responsable de la coordination et de la transmission du dossier de candidature au pouvoir adjudicateur.</w:t>
      </w:r>
    </w:p>
    <w:p w14:paraId="713D2230"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19" w:name="_Toc217035169"/>
      <w:r>
        <w:rPr>
          <w:rFonts w:ascii="Calibri" w:eastAsia="Cambria" w:hAnsi="Calibri" w:cs="Arial (Corps CS)"/>
          <w:b/>
          <w:smallCaps/>
          <w:color w:val="000000"/>
          <w:sz w:val="24"/>
          <w:szCs w:val="24"/>
        </w:rPr>
        <w:t>Pièces administratives</w:t>
      </w:r>
      <w:bookmarkEnd w:id="19"/>
    </w:p>
    <w:p w14:paraId="515590BC" w14:textId="77777777" w:rsidR="00472CFA" w:rsidRDefault="0043790E">
      <w:pPr>
        <w:jc w:val="both"/>
        <w:rPr>
          <w:rFonts w:ascii="Calibri" w:eastAsia="MS Mincho" w:hAnsi="Calibri" w:cs="Arial"/>
        </w:rPr>
      </w:pPr>
      <w:r>
        <w:rPr>
          <w:rFonts w:ascii="Calibri" w:eastAsia="MS Mincho" w:hAnsi="Calibri" w:cs="Arial"/>
        </w:rPr>
        <w:t>Les pièces administratives à fournir dans le cadre du dossier de candidature sont destinées à vérifier la régularité de la situation juridique des candidats et leur éligibilité à soumissionner, conformément aux dispositions du Code de la commande publique. Ces pièces doivent être complètes, conformes et à jour.</w:t>
      </w:r>
    </w:p>
    <w:p w14:paraId="5A9E5B88" w14:textId="77777777" w:rsidR="00472CFA" w:rsidRDefault="0043790E">
      <w:pPr>
        <w:jc w:val="both"/>
        <w:rPr>
          <w:rFonts w:ascii="Calibri" w:eastAsia="MS Mincho" w:hAnsi="Calibri" w:cs="Arial"/>
        </w:rPr>
      </w:pPr>
      <w:r>
        <w:rPr>
          <w:rFonts w:ascii="Calibri" w:eastAsia="MS Mincho" w:hAnsi="Calibri" w:cs="Arial"/>
        </w:rPr>
        <w:t>Les candidats doivent fournir les documents suivants :</w:t>
      </w:r>
    </w:p>
    <w:p w14:paraId="082A4514" w14:textId="77777777" w:rsidR="00472CFA" w:rsidRDefault="0043790E">
      <w:pPr>
        <w:numPr>
          <w:ilvl w:val="0"/>
          <w:numId w:val="8"/>
        </w:numPr>
        <w:contextualSpacing/>
        <w:jc w:val="both"/>
        <w:rPr>
          <w:rFonts w:ascii="Calibri" w:eastAsia="MS Mincho" w:hAnsi="Calibri" w:cs="Arial"/>
        </w:rPr>
      </w:pPr>
      <w:r>
        <w:rPr>
          <w:rFonts w:ascii="Calibri" w:eastAsia="MS Mincho" w:hAnsi="Calibri" w:cs="Arial"/>
        </w:rPr>
        <w:t>Le formulaire DC1, dûment complété et signé par une personne habilitée à engager l’entreprise. Ce document atteste de la candidature et de l’engagement du candidat à respecter les obligations du marché.</w:t>
      </w:r>
    </w:p>
    <w:p w14:paraId="58A8CD7B" w14:textId="77777777" w:rsidR="00472CFA" w:rsidRDefault="0043790E">
      <w:pPr>
        <w:numPr>
          <w:ilvl w:val="0"/>
          <w:numId w:val="7"/>
        </w:numPr>
        <w:contextualSpacing/>
        <w:jc w:val="both"/>
        <w:rPr>
          <w:rFonts w:ascii="Calibri" w:eastAsia="MS Mincho" w:hAnsi="Calibri" w:cs="Arial"/>
        </w:rPr>
      </w:pPr>
      <w:r>
        <w:rPr>
          <w:rFonts w:ascii="Calibri" w:eastAsia="MS Mincho" w:hAnsi="Calibri" w:cs="Arial"/>
        </w:rPr>
        <w:t>Le formulaire DC2, dûment complété, permettant de présenter les informations relatives à l’identité, à la structure et aux capacités du candidat.</w:t>
      </w:r>
    </w:p>
    <w:p w14:paraId="5EDFD0E2" w14:textId="77777777" w:rsidR="00472CFA" w:rsidRDefault="0043790E">
      <w:pPr>
        <w:numPr>
          <w:ilvl w:val="0"/>
          <w:numId w:val="7"/>
        </w:numPr>
        <w:contextualSpacing/>
        <w:jc w:val="both"/>
        <w:rPr>
          <w:rFonts w:ascii="Calibri" w:eastAsia="MS Mincho" w:hAnsi="Calibri" w:cs="Arial"/>
        </w:rPr>
      </w:pPr>
      <w:r>
        <w:rPr>
          <w:rFonts w:ascii="Calibri" w:eastAsia="MS Mincho" w:hAnsi="Calibri" w:cs="Arial"/>
        </w:rPr>
        <w:t>Une déclaration sur l’honneur, signée par une personne habilitée, attestant que le candidat ne se trouve dans aucune des situations d’interdiction de soumissionner prévues aux articles L.2141-1 à L.2141-11 du Code de la commande publique.</w:t>
      </w:r>
    </w:p>
    <w:p w14:paraId="4B5D48D7" w14:textId="77777777" w:rsidR="00472CFA" w:rsidRDefault="0043790E">
      <w:pPr>
        <w:numPr>
          <w:ilvl w:val="0"/>
          <w:numId w:val="7"/>
        </w:numPr>
        <w:contextualSpacing/>
        <w:jc w:val="both"/>
        <w:rPr>
          <w:rFonts w:ascii="Calibri" w:eastAsia="MS Mincho" w:hAnsi="Calibri" w:cs="Arial"/>
        </w:rPr>
      </w:pPr>
      <w:r>
        <w:rPr>
          <w:rFonts w:ascii="Calibri" w:eastAsia="MS Mincho" w:hAnsi="Calibri" w:cs="Arial"/>
        </w:rPr>
        <w:t>Les pouvoirs du signataire, justifiant que la personne signataire des documents est habilitée à engager l’entreprise. En cas de groupement, chaque membre doit fournir les pouvoirs de son signataire.</w:t>
      </w:r>
    </w:p>
    <w:p w14:paraId="54C038AB" w14:textId="77777777" w:rsidR="00472CFA" w:rsidRDefault="0043790E">
      <w:pPr>
        <w:numPr>
          <w:ilvl w:val="0"/>
          <w:numId w:val="7"/>
        </w:numPr>
        <w:contextualSpacing/>
        <w:jc w:val="both"/>
        <w:rPr>
          <w:rFonts w:ascii="Calibri" w:eastAsia="MS Mincho" w:hAnsi="Calibri" w:cs="Arial"/>
        </w:rPr>
      </w:pPr>
      <w:r>
        <w:rPr>
          <w:rFonts w:ascii="Calibri" w:eastAsia="MS Mincho" w:hAnsi="Calibri" w:cs="Arial"/>
        </w:rPr>
        <w:t>Les attestations fiscales et sociales, prouvant que le candidat est en règle avec ses obligations en matière de paiement des impôts et des cotisations sociales.</w:t>
      </w:r>
    </w:p>
    <w:p w14:paraId="6D4AECC8" w14:textId="77777777" w:rsidR="00472CFA" w:rsidRDefault="0043790E">
      <w:pPr>
        <w:jc w:val="both"/>
        <w:rPr>
          <w:rFonts w:ascii="Calibri" w:eastAsia="MS Mincho" w:hAnsi="Calibri" w:cs="Arial"/>
        </w:rPr>
      </w:pPr>
      <w:r>
        <w:rPr>
          <w:rFonts w:ascii="Calibri" w:eastAsia="MS Mincho" w:hAnsi="Calibri" w:cs="Arial"/>
        </w:rPr>
        <w:lastRenderedPageBreak/>
        <w:t>Les candidats doivent veiller à la conformité des pièces administratives fournies et à leur transmission dans les délais impartis. Toute pièce manquante ou non conforme peut entraîner le rejet de la candidature, conformément aux dispositions du Code de la commande publique.</w:t>
      </w:r>
    </w:p>
    <w:p w14:paraId="6E6AADBD"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20" w:name="_Toc217035170"/>
      <w:r>
        <w:rPr>
          <w:rFonts w:ascii="Calibri" w:eastAsia="Cambria" w:hAnsi="Calibri" w:cs="Arial (Corps CS)"/>
          <w:b/>
          <w:smallCaps/>
          <w:color w:val="000000"/>
          <w:sz w:val="24"/>
          <w:szCs w:val="24"/>
        </w:rPr>
        <w:t>Capacités exigées</w:t>
      </w:r>
      <w:bookmarkEnd w:id="20"/>
    </w:p>
    <w:p w14:paraId="0D9819E2" w14:textId="77777777" w:rsidR="00472CFA" w:rsidRDefault="0043790E">
      <w:pPr>
        <w:jc w:val="both"/>
        <w:rPr>
          <w:rFonts w:ascii="Calibri" w:eastAsia="MS Mincho" w:hAnsi="Calibri" w:cs="Arial"/>
        </w:rPr>
      </w:pPr>
      <w:r>
        <w:rPr>
          <w:rFonts w:ascii="Calibri" w:eastAsia="MS Mincho" w:hAnsi="Calibri" w:cs="Arial"/>
        </w:rPr>
        <w:t>La présente clause définit les capacités exigées des candidats dans le cadre de la consultation pour l’accord-cadre de maîtrise d’œuvre INRAE Antilles-Guyane. Ces capacités doivent permettre de garantir que les candidats disposent des moyens nécessaires pour exécuter les prestations prévues dans les deux lots du marché.</w:t>
      </w:r>
    </w:p>
    <w:p w14:paraId="1F25AE13" w14:textId="77777777" w:rsidR="00472CFA" w:rsidRDefault="0043790E">
      <w:pPr>
        <w:jc w:val="both"/>
        <w:rPr>
          <w:rFonts w:ascii="Calibri" w:eastAsia="MS Mincho" w:hAnsi="Calibri" w:cs="Arial"/>
        </w:rPr>
      </w:pPr>
      <w:r>
        <w:rPr>
          <w:rFonts w:ascii="Calibri" w:eastAsia="MS Mincho" w:hAnsi="Calibri" w:cs="Arial"/>
        </w:rPr>
        <w:t>Les candidats doivent démontrer leurs capacités économiques et financières, techniques et professionnelles, en fournissant les éléments suivants :</w:t>
      </w:r>
    </w:p>
    <w:p w14:paraId="0393C082" w14:textId="515DAD96" w:rsidR="00472CFA" w:rsidRDefault="0043790E">
      <w:pPr>
        <w:numPr>
          <w:ilvl w:val="0"/>
          <w:numId w:val="10"/>
        </w:numPr>
        <w:contextualSpacing/>
        <w:jc w:val="both"/>
      </w:pPr>
      <w:r>
        <w:rPr>
          <w:rFonts w:ascii="Calibri" w:eastAsia="MS Mincho" w:hAnsi="Calibri" w:cs="Arial"/>
        </w:rPr>
        <w:t>Capacités économiques et financières : Les candidats doivent fournir la DC2 complétée. Le pouvoir adjudicateur se réserve le droit de demander des justificatifs complémentaires en cas de doute sur la capacité financière du candidat.</w:t>
      </w:r>
    </w:p>
    <w:p w14:paraId="564CF824" w14:textId="77777777" w:rsidR="00472CFA" w:rsidRDefault="0043790E">
      <w:pPr>
        <w:numPr>
          <w:ilvl w:val="0"/>
          <w:numId w:val="9"/>
        </w:numPr>
        <w:contextualSpacing/>
        <w:jc w:val="both"/>
        <w:rPr>
          <w:rFonts w:ascii="Calibri" w:eastAsia="MS Mincho" w:hAnsi="Calibri" w:cs="Arial"/>
        </w:rPr>
      </w:pPr>
      <w:r>
        <w:rPr>
          <w:rFonts w:ascii="Calibri" w:eastAsia="MS Mincho" w:hAnsi="Calibri" w:cs="Arial"/>
        </w:rPr>
        <w:t>Capacités techniques et professionnelles : Les candidats doivent fournir une liste de références pertinentes, démontrant leur expérience dans la réalisation de prestations similaires à celles prévues dans le cadre de l’accord-cadre. Ces références doivent inclure des informations détaillées sur les projets réalisés, tels que leur nature, leur montant, leur date de réalisation, et les coordonnées des maîtres d’ouvrage concernés. Les candidats doivent également fournir une description de leurs moyens humains et matériels, incluant les qualifications et les compétences des équipes dédiées au projet.</w:t>
      </w:r>
    </w:p>
    <w:p w14:paraId="61D870C4" w14:textId="77777777" w:rsidR="00472CFA" w:rsidRDefault="0043790E">
      <w:pPr>
        <w:jc w:val="both"/>
        <w:rPr>
          <w:rFonts w:ascii="Calibri" w:eastAsia="MS Mincho" w:hAnsi="Calibri" w:cs="Arial"/>
        </w:rPr>
      </w:pPr>
      <w:r>
        <w:rPr>
          <w:rFonts w:ascii="Calibri" w:eastAsia="MS Mincho" w:hAnsi="Calibri" w:cs="Arial"/>
        </w:rPr>
        <w:t>Le pouvoir adjudicateur se réserve le droit de vérifier la véracité des informations fournies et de demander des compléments en cas de doute. Les candidats doivent veiller à la clarté et à la lisibilité des documents transmis, en respectant les formats et les modalités de présentation définis dans le règlement de la consultation.</w:t>
      </w:r>
    </w:p>
    <w:p w14:paraId="476AFA6D" w14:textId="77777777" w:rsidR="00472CFA" w:rsidRDefault="0043790E">
      <w:pPr>
        <w:numPr>
          <w:ilvl w:val="0"/>
          <w:numId w:val="1"/>
        </w:numPr>
        <w:shd w:val="clear" w:color="auto" w:fill="BFBFBF"/>
        <w:spacing w:before="240" w:after="160" w:line="247" w:lineRule="auto"/>
        <w:rPr>
          <w:rFonts w:ascii="Calibri" w:eastAsia="Cambria" w:hAnsi="Calibri" w:cs="Arial (Corps CS)"/>
          <w:b/>
          <w:bCs/>
          <w:caps/>
          <w:color w:val="000000"/>
          <w:sz w:val="24"/>
          <w:szCs w:val="24"/>
        </w:rPr>
      </w:pPr>
      <w:bookmarkStart w:id="21" w:name="_Toc217035171"/>
      <w:r>
        <w:rPr>
          <w:rFonts w:ascii="Calibri" w:eastAsia="Cambria" w:hAnsi="Calibri" w:cs="Arial (Corps CS)"/>
          <w:b/>
          <w:bCs/>
          <w:caps/>
          <w:color w:val="000000"/>
          <w:sz w:val="24"/>
          <w:szCs w:val="24"/>
        </w:rPr>
        <w:t>Contenu du dossier d’offre</w:t>
      </w:r>
      <w:bookmarkEnd w:id="21"/>
    </w:p>
    <w:p w14:paraId="6E15FEA9" w14:textId="77777777" w:rsidR="00472CFA" w:rsidRDefault="0043790E">
      <w:pPr>
        <w:jc w:val="both"/>
        <w:rPr>
          <w:rFonts w:ascii="Calibri" w:eastAsia="MS Mincho" w:hAnsi="Calibri" w:cs="Arial"/>
        </w:rPr>
      </w:pPr>
      <w:r>
        <w:rPr>
          <w:rFonts w:ascii="Calibri" w:eastAsia="MS Mincho" w:hAnsi="Calibri" w:cs="Arial"/>
        </w:rPr>
        <w:t>Le dossier d’offre à remettre par les candidats dans le cadre de la présente consultation doit permettre au pouvoir adjudicateur d’évaluer la qualité technique, environnementale et financière des propositions, ainsi que leur adéquation aux besoins exprimés dans le Cahier des Clauses Techniques Particulières (CCTP). Ce dossier doit être complet, structuré et conforme aux exigences du règlement de la consultation.</w:t>
      </w:r>
    </w:p>
    <w:p w14:paraId="5CD79C25" w14:textId="77777777" w:rsidR="00472CFA" w:rsidRDefault="0043790E">
      <w:pPr>
        <w:jc w:val="both"/>
        <w:rPr>
          <w:rFonts w:ascii="Calibri" w:eastAsia="MS Mincho" w:hAnsi="Calibri" w:cs="Arial"/>
        </w:rPr>
      </w:pPr>
      <w:r>
        <w:rPr>
          <w:rFonts w:ascii="Calibri" w:eastAsia="MS Mincho" w:hAnsi="Calibri" w:cs="Arial"/>
        </w:rPr>
        <w:t>Le dossier d’offre doit inclure les éléments suivants :</w:t>
      </w:r>
    </w:p>
    <w:p w14:paraId="568E0FEE" w14:textId="2E130077" w:rsidR="00472CFA" w:rsidRDefault="0043790E">
      <w:pPr>
        <w:numPr>
          <w:ilvl w:val="0"/>
          <w:numId w:val="12"/>
        </w:numPr>
        <w:contextualSpacing/>
        <w:jc w:val="both"/>
        <w:rPr>
          <w:rFonts w:ascii="Calibri" w:eastAsia="MS Mincho" w:hAnsi="Calibri" w:cs="Arial"/>
        </w:rPr>
      </w:pPr>
      <w:r>
        <w:rPr>
          <w:rFonts w:ascii="Calibri" w:eastAsia="MS Mincho" w:hAnsi="Calibri" w:cs="Arial"/>
        </w:rPr>
        <w:t xml:space="preserve">L’acte d’engagement </w:t>
      </w:r>
      <w:r w:rsidR="000379C8">
        <w:rPr>
          <w:rFonts w:ascii="Calibri" w:eastAsia="MS Mincho" w:hAnsi="Calibri" w:cs="Arial"/>
        </w:rPr>
        <w:t xml:space="preserve">et ses annexes </w:t>
      </w:r>
      <w:r>
        <w:rPr>
          <w:rFonts w:ascii="Calibri" w:eastAsia="MS Mincho" w:hAnsi="Calibri" w:cs="Arial"/>
        </w:rPr>
        <w:t>: Chaque candidat doit fournir un acte d’engagement dûment complété et signé pour chaque lot auquel il soumissionne. Ce document formalise l’engagement du candidat à exécuter les prestations conformément aux stipulations du marché.</w:t>
      </w:r>
    </w:p>
    <w:p w14:paraId="23060B28" w14:textId="77777777" w:rsidR="00472CFA" w:rsidRDefault="0043790E">
      <w:pPr>
        <w:numPr>
          <w:ilvl w:val="0"/>
          <w:numId w:val="11"/>
        </w:numPr>
        <w:contextualSpacing/>
        <w:jc w:val="both"/>
        <w:rPr>
          <w:rFonts w:ascii="Calibri" w:eastAsia="MS Mincho" w:hAnsi="Calibri" w:cs="Arial"/>
        </w:rPr>
      </w:pPr>
      <w:r>
        <w:rPr>
          <w:rFonts w:ascii="Calibri" w:eastAsia="MS Mincho" w:hAnsi="Calibri" w:cs="Arial"/>
        </w:rPr>
        <w:t>L’offre financière : Les candidats doivent fournir un Bordereau des Prix Unitaires (BPU) et un Détail Quantitatif Estimatif (DQE) pour chaque lot. Le BPU constitue la base contractuelle des prix unitaires applicables, tandis que le DQE, non contractuel, permet d’évaluer la compétitivité financière de l’offre.</w:t>
      </w:r>
    </w:p>
    <w:p w14:paraId="39E6D460" w14:textId="77777777" w:rsidR="00472CFA" w:rsidRDefault="0043790E">
      <w:pPr>
        <w:numPr>
          <w:ilvl w:val="0"/>
          <w:numId w:val="11"/>
        </w:numPr>
        <w:contextualSpacing/>
        <w:jc w:val="both"/>
        <w:rPr>
          <w:rFonts w:ascii="Calibri" w:eastAsia="MS Mincho" w:hAnsi="Calibri" w:cs="Arial"/>
        </w:rPr>
      </w:pPr>
      <w:r>
        <w:rPr>
          <w:rFonts w:ascii="Calibri" w:eastAsia="MS Mincho" w:hAnsi="Calibri" w:cs="Arial"/>
        </w:rPr>
        <w:t xml:space="preserve">L’offre technique : Les candidats doivent fournir un mémoire technique détaillé, incluant une description de leur organisation, de leur méthodologie d’exécution, et des moyens humains et matériels mobilisés. Ce </w:t>
      </w:r>
      <w:r>
        <w:rPr>
          <w:rFonts w:ascii="Calibri" w:eastAsia="MS Mincho" w:hAnsi="Calibri" w:cs="Arial"/>
        </w:rPr>
        <w:lastRenderedPageBreak/>
        <w:t>mémoire doit également inclure une note environnementale, précisant les solutions proposées pour répondre aux exigences de performance énergétique et environnementale définies dans le CCTP.</w:t>
      </w:r>
    </w:p>
    <w:p w14:paraId="676E2E5B" w14:textId="77777777" w:rsidR="00472CFA" w:rsidRDefault="0043790E">
      <w:pPr>
        <w:jc w:val="both"/>
        <w:rPr>
          <w:rFonts w:ascii="Calibri" w:eastAsia="MS Mincho" w:hAnsi="Calibri" w:cs="Arial"/>
        </w:rPr>
      </w:pPr>
      <w:r>
        <w:rPr>
          <w:rFonts w:ascii="Calibri" w:eastAsia="MS Mincho" w:hAnsi="Calibri" w:cs="Arial"/>
        </w:rPr>
        <w:t>Les candidats doivent veiller à la clarté et à la lisibilité des documents transmis, en respectant les formats et les modalités de présentation définis dans le règlement de la consultation. Toute omission ou non-conformité dans le dossier d’offre peut entraîner son rejet par le pouvoir adjudicateur.</w:t>
      </w:r>
    </w:p>
    <w:p w14:paraId="08F53DD7"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22" w:name="_Toc217035172"/>
      <w:r>
        <w:rPr>
          <w:rFonts w:ascii="Calibri" w:eastAsia="Cambria" w:hAnsi="Calibri" w:cs="Arial (Corps CS)"/>
          <w:b/>
          <w:smallCaps/>
          <w:color w:val="000000"/>
          <w:sz w:val="24"/>
          <w:szCs w:val="24"/>
        </w:rPr>
        <w:t>Acte d’engagement</w:t>
      </w:r>
      <w:bookmarkEnd w:id="22"/>
    </w:p>
    <w:p w14:paraId="43522058" w14:textId="77777777" w:rsidR="00472CFA" w:rsidRDefault="0043790E">
      <w:pPr>
        <w:jc w:val="both"/>
        <w:rPr>
          <w:rFonts w:ascii="Calibri" w:eastAsia="MS Mincho" w:hAnsi="Calibri" w:cs="Arial"/>
        </w:rPr>
      </w:pPr>
      <w:r>
        <w:rPr>
          <w:rFonts w:ascii="Calibri" w:eastAsia="MS Mincho" w:hAnsi="Calibri" w:cs="Arial"/>
        </w:rPr>
        <w:t>Le présent article définit les exigences relatives à l’acte d’engagement, document contractuel essentiel dans le cadre de la procédure d’appel d’offres ouvert pour l’accord-cadre de maîtrise d’œuvre INRAE Antilles-Guyane. Chaque candidat est tenu de compléter et de signer un acte d’engagement distinct pour chaque lot auquel il soumissionne. L’acte d’engagement formalise les engagements du candidat en matière de prix, de délais, et de qualité des prestations, ainsi que son acceptation des stipulations contractuelles définies dans le dossier de consultation des entreprises (DCE).</w:t>
      </w:r>
    </w:p>
    <w:p w14:paraId="40AFB57F" w14:textId="77777777" w:rsidR="00472CFA" w:rsidRDefault="0043790E">
      <w:pPr>
        <w:jc w:val="both"/>
        <w:rPr>
          <w:rFonts w:ascii="Calibri" w:eastAsia="MS Mincho" w:hAnsi="Calibri" w:cs="Arial"/>
        </w:rPr>
      </w:pPr>
      <w:r>
        <w:rPr>
          <w:rFonts w:ascii="Calibri" w:eastAsia="MS Mincho" w:hAnsi="Calibri" w:cs="Arial"/>
        </w:rPr>
        <w:t>L’acte d’engagement doit être complété conformément aux instructions figurant dans le DCE. Il doit inclure les informations suivantes :</w:t>
      </w:r>
    </w:p>
    <w:p w14:paraId="2FD2A7B3" w14:textId="77777777" w:rsidR="00472CFA" w:rsidRDefault="0043790E">
      <w:pPr>
        <w:numPr>
          <w:ilvl w:val="0"/>
          <w:numId w:val="14"/>
        </w:numPr>
        <w:contextualSpacing/>
        <w:jc w:val="both"/>
        <w:rPr>
          <w:rFonts w:ascii="Calibri" w:eastAsia="MS Mincho" w:hAnsi="Calibri" w:cs="Arial"/>
        </w:rPr>
      </w:pPr>
      <w:r>
        <w:rPr>
          <w:rFonts w:ascii="Calibri" w:eastAsia="MS Mincho" w:hAnsi="Calibri" w:cs="Arial"/>
        </w:rPr>
        <w:t xml:space="preserve">L’identification complète du candidat, incluant sa raison sociale, son adresse, et ses coordonnées </w:t>
      </w:r>
    </w:p>
    <w:p w14:paraId="3F783A58" w14:textId="77777777" w:rsidR="00472CFA" w:rsidRDefault="0043790E">
      <w:pPr>
        <w:numPr>
          <w:ilvl w:val="0"/>
          <w:numId w:val="13"/>
        </w:numPr>
        <w:contextualSpacing/>
        <w:jc w:val="both"/>
        <w:rPr>
          <w:rFonts w:ascii="Calibri" w:eastAsia="MS Mincho" w:hAnsi="Calibri" w:cs="Arial"/>
        </w:rPr>
      </w:pPr>
      <w:r>
        <w:rPr>
          <w:rFonts w:ascii="Calibri" w:eastAsia="MS Mincho" w:hAnsi="Calibri" w:cs="Arial"/>
        </w:rPr>
        <w:t>La désignation du lot concerné (Lot 1 : Infrastructures ou Lot 2 : Bâtiments).</w:t>
      </w:r>
    </w:p>
    <w:p w14:paraId="02632447" w14:textId="77777777" w:rsidR="00472CFA" w:rsidRDefault="0043790E">
      <w:pPr>
        <w:numPr>
          <w:ilvl w:val="0"/>
          <w:numId w:val="13"/>
        </w:numPr>
        <w:contextualSpacing/>
        <w:jc w:val="both"/>
        <w:rPr>
          <w:rFonts w:ascii="Calibri" w:eastAsia="MS Mincho" w:hAnsi="Calibri" w:cs="Arial"/>
        </w:rPr>
      </w:pPr>
      <w:r>
        <w:rPr>
          <w:rFonts w:ascii="Calibri" w:eastAsia="MS Mincho" w:hAnsi="Calibri" w:cs="Arial"/>
        </w:rPr>
        <w:t>Les prix unitaires proposés, exprimés en euros hors taxes (HT) et toutes taxes comprises (TTC), conformément au Bordereau des Prix Unitaires (BPU) annexé.</w:t>
      </w:r>
    </w:p>
    <w:p w14:paraId="30737742" w14:textId="77777777" w:rsidR="00472CFA" w:rsidRDefault="0043790E">
      <w:pPr>
        <w:numPr>
          <w:ilvl w:val="0"/>
          <w:numId w:val="13"/>
        </w:numPr>
        <w:contextualSpacing/>
        <w:jc w:val="both"/>
        <w:rPr>
          <w:rFonts w:ascii="Calibri" w:eastAsia="MS Mincho" w:hAnsi="Calibri" w:cs="Arial"/>
        </w:rPr>
      </w:pPr>
      <w:r>
        <w:rPr>
          <w:rFonts w:ascii="Calibri" w:eastAsia="MS Mincho" w:hAnsi="Calibri" w:cs="Arial"/>
        </w:rPr>
        <w:t>L’engagement du candidat à respecter les délais d’exécution et les modalités définies dans le CCTP et le CCAP.</w:t>
      </w:r>
    </w:p>
    <w:p w14:paraId="58B2F30C" w14:textId="77777777" w:rsidR="00472CFA" w:rsidRDefault="0043790E">
      <w:pPr>
        <w:numPr>
          <w:ilvl w:val="0"/>
          <w:numId w:val="13"/>
        </w:numPr>
        <w:contextualSpacing/>
        <w:jc w:val="both"/>
        <w:rPr>
          <w:rFonts w:ascii="Calibri" w:eastAsia="MS Mincho" w:hAnsi="Calibri" w:cs="Arial"/>
        </w:rPr>
      </w:pPr>
      <w:r>
        <w:rPr>
          <w:rFonts w:ascii="Calibri" w:eastAsia="MS Mincho" w:hAnsi="Calibri" w:cs="Arial"/>
        </w:rPr>
        <w:t>La signature du représentant légal du candidat, accompagnée du pouvoir justifiant sa capacité à engager l’entreprise.</w:t>
      </w:r>
    </w:p>
    <w:p w14:paraId="6422FC8F" w14:textId="77777777" w:rsidR="00472CFA" w:rsidRDefault="0043790E">
      <w:pPr>
        <w:jc w:val="both"/>
        <w:rPr>
          <w:rFonts w:ascii="Calibri" w:eastAsia="MS Mincho" w:hAnsi="Calibri" w:cs="Arial"/>
        </w:rPr>
      </w:pPr>
      <w:r>
        <w:rPr>
          <w:rFonts w:ascii="Calibri" w:eastAsia="MS Mincho" w:hAnsi="Calibri" w:cs="Arial"/>
        </w:rPr>
        <w:t>L’acte d’engagement doit être signé électroniquement, conformément aux dispositions de l’article 7.3 du présent règlement de la consultation. Toute omission ou erreur dans la complétion de l’acte d’engagement peut entraîner l’irrecevabilité de l’offre. En cas de groupement, l’acte d’engagement doit être signé par l’ensemble des membres du groupement ou par le mandataire dûment habilité. Les candidats sont invités à vérifier la conformité de leur acte d’engagement avant sa transmission, afin de garantir son acceptation par le pouvoir adjudicateur.</w:t>
      </w:r>
    </w:p>
    <w:p w14:paraId="2D3FD4B0"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23" w:name="_Toc217035173"/>
      <w:r>
        <w:rPr>
          <w:rFonts w:ascii="Calibri" w:eastAsia="Cambria" w:hAnsi="Calibri" w:cs="Arial (Corps CS)"/>
          <w:b/>
          <w:smallCaps/>
          <w:color w:val="000000"/>
          <w:sz w:val="24"/>
          <w:szCs w:val="24"/>
        </w:rPr>
        <w:t>Offre financière</w:t>
      </w:r>
      <w:bookmarkEnd w:id="23"/>
    </w:p>
    <w:p w14:paraId="04CF3C82" w14:textId="77777777" w:rsidR="00472CFA" w:rsidRDefault="0043790E">
      <w:pPr>
        <w:jc w:val="both"/>
        <w:rPr>
          <w:rFonts w:ascii="Calibri" w:eastAsia="MS Mincho" w:hAnsi="Calibri" w:cs="Arial"/>
        </w:rPr>
      </w:pPr>
      <w:r>
        <w:rPr>
          <w:rFonts w:ascii="Calibri" w:eastAsia="MS Mincho" w:hAnsi="Calibri" w:cs="Arial"/>
        </w:rPr>
        <w:t>Le présent article précise les exigences relatives à l’offre financière, qui constitue un élément déterminant dans le jugement des offres. Les candidats doivent fournir une offre financière complète et détaillée pour chaque lot auquel ils soumissionnent, conformément aux stipulations du dossier de consultation des entreprises (DCE). L’offre financière inclut les documents suivants :</w:t>
      </w:r>
    </w:p>
    <w:p w14:paraId="1D50EF2A" w14:textId="77777777" w:rsidR="00472CFA" w:rsidRDefault="0043790E">
      <w:pPr>
        <w:numPr>
          <w:ilvl w:val="0"/>
          <w:numId w:val="16"/>
        </w:numPr>
        <w:contextualSpacing/>
        <w:jc w:val="both"/>
        <w:rPr>
          <w:rFonts w:ascii="Calibri" w:eastAsia="MS Mincho" w:hAnsi="Calibri" w:cs="Arial"/>
        </w:rPr>
      </w:pPr>
      <w:r>
        <w:rPr>
          <w:rFonts w:ascii="Calibri" w:eastAsia="MS Mincho" w:hAnsi="Calibri" w:cs="Arial"/>
        </w:rPr>
        <w:t>Le Bordereau des Prix Unitaires (BPU), qui détaille les prix unitaires applicables aux prestations de maîtrise d’œuvre. Le BPU doit être complété avec précision, en respectant les formats et les instructions définis dans le DCE.</w:t>
      </w:r>
    </w:p>
    <w:p w14:paraId="44F3F0FB" w14:textId="77777777" w:rsidR="00472CFA" w:rsidRDefault="0043790E">
      <w:pPr>
        <w:numPr>
          <w:ilvl w:val="0"/>
          <w:numId w:val="15"/>
        </w:numPr>
        <w:contextualSpacing/>
        <w:jc w:val="both"/>
        <w:rPr>
          <w:rFonts w:ascii="Calibri" w:eastAsia="MS Mincho" w:hAnsi="Calibri" w:cs="Arial"/>
        </w:rPr>
      </w:pPr>
      <w:r>
        <w:rPr>
          <w:rFonts w:ascii="Calibri" w:eastAsia="MS Mincho" w:hAnsi="Calibri" w:cs="Arial"/>
        </w:rPr>
        <w:lastRenderedPageBreak/>
        <w:t>Le Détail Quantitatif Estimatif (DQE), qui permet d’évaluer le coût prévisionnel des prestations sur la base des quantités estimées. Le DQE est fourni à titre indicatif et n’a pas de caractère contractuel.</w:t>
      </w:r>
    </w:p>
    <w:p w14:paraId="5D70950A" w14:textId="77777777" w:rsidR="00472CFA" w:rsidRDefault="0043790E">
      <w:pPr>
        <w:jc w:val="both"/>
        <w:rPr>
          <w:rFonts w:ascii="Calibri" w:eastAsia="MS Mincho" w:hAnsi="Calibri" w:cs="Arial"/>
        </w:rPr>
      </w:pPr>
      <w:r>
        <w:rPr>
          <w:rFonts w:ascii="Calibri" w:eastAsia="MS Mincho" w:hAnsi="Calibri" w:cs="Arial"/>
        </w:rPr>
        <w:t>Les prix proposés doivent être exprimés en euros hors taxes (HT) et toutes taxes comprises (TTC). Ils doivent inclure l’ensemble des frais liés à l’exécution des prestations, notamment les frais de déplacement, les coûts des études, et les charges indirectes. Les candidats doivent veiller à la cohérence de leur offre financière, en s’assurant que les prix unitaires du BPU sont conformes aux estimations du DQE.</w:t>
      </w:r>
    </w:p>
    <w:p w14:paraId="431281E4" w14:textId="77777777" w:rsidR="00472CFA" w:rsidRDefault="0043790E">
      <w:pPr>
        <w:jc w:val="both"/>
        <w:rPr>
          <w:rFonts w:ascii="Calibri" w:eastAsia="MS Mincho" w:hAnsi="Calibri" w:cs="Arial"/>
        </w:rPr>
      </w:pPr>
      <w:r>
        <w:rPr>
          <w:rFonts w:ascii="Calibri" w:eastAsia="MS Mincho" w:hAnsi="Calibri" w:cs="Arial"/>
        </w:rPr>
        <w:t>Le pouvoir adjudicateur se réserve le droit de vérifier la cohérence des prix proposés et de demander des justifications en cas d’offre anormalement basse, conformément aux articles L.2152-5 et R.2152-3 du Code de la commande publique. Toute incohérence ou omission dans l’offre financière peut entraîner son rejet. Les candidats sont invités à vérifier leur offre avant sa transmission, afin de garantir sa conformité aux exigences du DCE.</w:t>
      </w:r>
    </w:p>
    <w:p w14:paraId="380DD8D4"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24" w:name="_Toc217035174"/>
      <w:r>
        <w:rPr>
          <w:rFonts w:ascii="Calibri" w:eastAsia="Cambria" w:hAnsi="Calibri" w:cs="Arial (Corps CS)"/>
          <w:b/>
          <w:smallCaps/>
          <w:color w:val="000000"/>
          <w:sz w:val="24"/>
          <w:szCs w:val="24"/>
        </w:rPr>
        <w:t>Offre technique</w:t>
      </w:r>
      <w:bookmarkEnd w:id="24"/>
    </w:p>
    <w:p w14:paraId="0643FE0F" w14:textId="77777777" w:rsidR="00472CFA" w:rsidRDefault="0043790E">
      <w:pPr>
        <w:jc w:val="both"/>
        <w:rPr>
          <w:rFonts w:ascii="Calibri" w:eastAsia="MS Mincho" w:hAnsi="Calibri" w:cs="Arial"/>
        </w:rPr>
      </w:pPr>
      <w:r>
        <w:rPr>
          <w:rFonts w:ascii="Calibri" w:eastAsia="MS Mincho" w:hAnsi="Calibri" w:cs="Arial"/>
        </w:rPr>
        <w:t>Le présent article définit les exigences relatives à l’offre technique, qui constitue un critère essentiel dans le jugement des offres. Les candidats doivent fournir une offre technique détaillée pour chaque lot auquel ils soumissionnent, conformément aux stipulations du dossier de consultation des entreprises (DCE). L’offre technique inclut les documents suivants :</w:t>
      </w:r>
    </w:p>
    <w:p w14:paraId="79762C09" w14:textId="77777777" w:rsidR="00472CFA" w:rsidRDefault="0043790E">
      <w:pPr>
        <w:numPr>
          <w:ilvl w:val="0"/>
          <w:numId w:val="18"/>
        </w:numPr>
        <w:contextualSpacing/>
        <w:jc w:val="both"/>
        <w:rPr>
          <w:rFonts w:ascii="Calibri" w:eastAsia="MS Mincho" w:hAnsi="Calibri" w:cs="Arial"/>
        </w:rPr>
      </w:pPr>
      <w:r>
        <w:rPr>
          <w:rFonts w:ascii="Calibri" w:eastAsia="MS Mincho" w:hAnsi="Calibri" w:cs="Arial"/>
        </w:rPr>
        <w:t>Un mémoire technique, qui présente l’organisation, les moyens humains et matériels, et la méthodologie que le candidat propose pour réaliser les prestations de maîtrise d’œuvre. Ce mémoire doit inclure une description des compétences et des qualifications des équipes dédiées, ainsi qu’un plan de gestion des ressources.</w:t>
      </w:r>
    </w:p>
    <w:p w14:paraId="45844403" w14:textId="77777777" w:rsidR="00472CFA" w:rsidRDefault="0043790E">
      <w:pPr>
        <w:numPr>
          <w:ilvl w:val="0"/>
          <w:numId w:val="17"/>
        </w:numPr>
        <w:contextualSpacing/>
        <w:jc w:val="both"/>
        <w:rPr>
          <w:rFonts w:ascii="Calibri" w:eastAsia="MS Mincho" w:hAnsi="Calibri" w:cs="Arial"/>
        </w:rPr>
      </w:pPr>
      <w:r>
        <w:rPr>
          <w:rFonts w:ascii="Calibri" w:eastAsia="MS Mincho" w:hAnsi="Calibri" w:cs="Arial"/>
        </w:rPr>
        <w:t>Une note environnementale, qui détaille les solutions proposées pour répondre aux exigences de performance énergétique et environnementale définies dans le CCTP. Cette note doit inclure des indicateurs de performance, des mesures de réduction de l’empreinte carbone, et des dispositifs de préservation de la biodiversité.</w:t>
      </w:r>
    </w:p>
    <w:p w14:paraId="7E3212E8" w14:textId="091B5FAA" w:rsidR="00472CFA" w:rsidRDefault="0043790E">
      <w:pPr>
        <w:numPr>
          <w:ilvl w:val="0"/>
          <w:numId w:val="17"/>
        </w:numPr>
        <w:contextualSpacing/>
        <w:jc w:val="both"/>
        <w:rPr>
          <w:rFonts w:ascii="Calibri" w:eastAsia="MS Mincho" w:hAnsi="Calibri" w:cs="Arial"/>
        </w:rPr>
      </w:pPr>
      <w:proofErr w:type="gramStart"/>
      <w:r>
        <w:rPr>
          <w:rFonts w:ascii="Calibri" w:eastAsia="MS Mincho" w:hAnsi="Calibri" w:cs="Arial"/>
        </w:rPr>
        <w:t>des</w:t>
      </w:r>
      <w:proofErr w:type="gramEnd"/>
      <w:r>
        <w:rPr>
          <w:rFonts w:ascii="Calibri" w:eastAsia="MS Mincho" w:hAnsi="Calibri" w:cs="Arial"/>
        </w:rPr>
        <w:t xml:space="preserve"> interventions, une description des outils de gestion de projet (notamment le recours au BIM, le cas échéant), et les modalités de coordination avec les autres intervenants.</w:t>
      </w:r>
    </w:p>
    <w:p w14:paraId="620C5D18" w14:textId="77777777" w:rsidR="00472CFA" w:rsidRDefault="0043790E">
      <w:pPr>
        <w:jc w:val="both"/>
        <w:rPr>
          <w:rFonts w:ascii="Calibri" w:eastAsia="MS Mincho" w:hAnsi="Calibri" w:cs="Arial"/>
        </w:rPr>
      </w:pPr>
      <w:r>
        <w:rPr>
          <w:rFonts w:ascii="Calibri" w:eastAsia="MS Mincho" w:hAnsi="Calibri" w:cs="Arial"/>
        </w:rPr>
        <w:t>L’offre technique doit démontrer la capacité du candidat à répondre aux objectifs du maître d’ouvrage en matière de qualité, de délais, et de conformité réglementaire. Elle doit être rédigée de manière claire et structurée, en mettant en évidence les points forts de la proposition. Les candidats sont invités à fournir des références pertinentes et des exemples de projets similaires réalisés, afin de justifier leur expertise et leur expérience.</w:t>
      </w:r>
    </w:p>
    <w:p w14:paraId="0F5C43A7" w14:textId="77777777" w:rsidR="00472CFA" w:rsidRDefault="0043790E">
      <w:pPr>
        <w:jc w:val="both"/>
        <w:rPr>
          <w:rFonts w:ascii="Calibri" w:eastAsia="MS Mincho" w:hAnsi="Calibri" w:cs="Arial"/>
        </w:rPr>
      </w:pPr>
      <w:r>
        <w:rPr>
          <w:rFonts w:ascii="Calibri" w:eastAsia="MS Mincho" w:hAnsi="Calibri" w:cs="Arial"/>
        </w:rPr>
        <w:t>Le pouvoir adjudicateur se réserve le droit de demander des précisions ou des compléments sur l’offre technique, afin de garantir sa pertinence et sa conformité aux exigences du DCE. Toute omission ou insuffisance dans l’offre technique peut entraîner son rejet. Les candidats sont invités à vérifier leur offre avant sa transmission, afin de garantir sa qualité et sa conformité.</w:t>
      </w:r>
    </w:p>
    <w:p w14:paraId="619C20A7" w14:textId="77777777" w:rsidR="00472CFA" w:rsidRDefault="0043790E">
      <w:pPr>
        <w:numPr>
          <w:ilvl w:val="0"/>
          <w:numId w:val="1"/>
        </w:numPr>
        <w:shd w:val="clear" w:color="auto" w:fill="BFBFBF"/>
        <w:spacing w:before="240" w:after="160" w:line="247" w:lineRule="auto"/>
        <w:rPr>
          <w:rFonts w:ascii="Calibri" w:eastAsia="Cambria" w:hAnsi="Calibri" w:cs="Arial (Corps CS)"/>
          <w:b/>
          <w:bCs/>
          <w:caps/>
          <w:color w:val="000000"/>
          <w:sz w:val="24"/>
          <w:szCs w:val="24"/>
        </w:rPr>
      </w:pPr>
      <w:bookmarkStart w:id="25" w:name="_Toc217035175"/>
      <w:r>
        <w:rPr>
          <w:rFonts w:ascii="Calibri" w:eastAsia="Cambria" w:hAnsi="Calibri" w:cs="Arial (Corps CS)"/>
          <w:b/>
          <w:bCs/>
          <w:caps/>
          <w:color w:val="000000"/>
          <w:sz w:val="24"/>
          <w:szCs w:val="24"/>
        </w:rPr>
        <w:t>Modalités de remise des offres</w:t>
      </w:r>
      <w:bookmarkEnd w:id="25"/>
    </w:p>
    <w:p w14:paraId="3D9D8F58" w14:textId="77777777" w:rsidR="00472CFA" w:rsidRDefault="0043790E">
      <w:pPr>
        <w:jc w:val="both"/>
        <w:rPr>
          <w:rFonts w:ascii="Calibri" w:eastAsia="MS Mincho" w:hAnsi="Calibri" w:cs="Arial"/>
        </w:rPr>
      </w:pPr>
      <w:r>
        <w:rPr>
          <w:rFonts w:ascii="Calibri" w:eastAsia="MS Mincho" w:hAnsi="Calibri" w:cs="Arial"/>
        </w:rPr>
        <w:t>Le présent article définit les modalités de remise des offres dans le cadre de la procédure d’appel d’offres ouvert pour l’accord-cadre de maîtrise d’œuvre INRAE Antilles-Guyane. Les offres doivent être transmises exclusivement par voie dématérialisée, conformément aux dispositions de l’article 7.1 du présent règlement de la consultation.</w:t>
      </w:r>
    </w:p>
    <w:p w14:paraId="6090F34A" w14:textId="309A8749" w:rsidR="00472CFA" w:rsidRDefault="0043790E">
      <w:pPr>
        <w:jc w:val="both"/>
      </w:pPr>
      <w:r>
        <w:rPr>
          <w:rFonts w:ascii="Calibri" w:eastAsia="MS Mincho" w:hAnsi="Calibri" w:cs="Arial"/>
        </w:rPr>
        <w:lastRenderedPageBreak/>
        <w:t xml:space="preserve">Les candidats doivent déposer leurs offres sur la plateforme de dématérialisation dédiée, accessible à l’adresse suivante : </w:t>
      </w:r>
      <w:hyperlink r:id="rId8" w:history="1">
        <w:r w:rsidR="00945A37" w:rsidRPr="008728BC">
          <w:rPr>
            <w:rStyle w:val="Lienhypertexte"/>
            <w:rFonts w:ascii="Calibri" w:eastAsia="MS Mincho" w:hAnsi="Calibri" w:cs="Arial"/>
          </w:rPr>
          <w:t>https://www.marches-publics.gouv.fr/</w:t>
        </w:r>
      </w:hyperlink>
      <w:r w:rsidR="00945A37">
        <w:rPr>
          <w:rFonts w:ascii="Calibri" w:eastAsia="MS Mincho" w:hAnsi="Calibri" w:cs="Arial"/>
        </w:rPr>
        <w:t xml:space="preserve"> </w:t>
      </w:r>
      <w:r>
        <w:rPr>
          <w:rFonts w:ascii="Calibri" w:eastAsia="MS Mincho" w:hAnsi="Calibri" w:cs="Arial"/>
        </w:rPr>
        <w:t xml:space="preserve">. Les offres doivent être transmises avant la date et l’heure limites de remise des offres, fixées </w:t>
      </w:r>
      <w:r w:rsidRPr="00945A37">
        <w:rPr>
          <w:rFonts w:ascii="Calibri" w:eastAsia="MS Mincho" w:hAnsi="Calibri" w:cs="Arial"/>
        </w:rPr>
        <w:t xml:space="preserve">au </w:t>
      </w:r>
      <w:r w:rsidR="00945A37" w:rsidRPr="00945A37">
        <w:rPr>
          <w:rFonts w:ascii="Calibri" w:eastAsia="MS Mincho" w:hAnsi="Calibri" w:cs="Arial"/>
          <w:b/>
        </w:rPr>
        <w:t>le 15 avril 2026 à 17h.</w:t>
      </w:r>
      <w:r w:rsidR="00945A37">
        <w:rPr>
          <w:rFonts w:ascii="Calibri" w:eastAsia="MS Mincho" w:hAnsi="Calibri" w:cs="Arial"/>
        </w:rPr>
        <w:t xml:space="preserve"> </w:t>
      </w:r>
      <w:r w:rsidRPr="00945A37">
        <w:rPr>
          <w:rFonts w:ascii="Calibri" w:eastAsia="MS Mincho" w:hAnsi="Calibri" w:cs="Arial"/>
        </w:rPr>
        <w:t>Toute</w:t>
      </w:r>
      <w:r>
        <w:rPr>
          <w:rFonts w:ascii="Calibri" w:eastAsia="MS Mincho" w:hAnsi="Calibri" w:cs="Arial"/>
        </w:rPr>
        <w:t xml:space="preserve"> offre reçue après cette échéance sera automatiquement rejetée.</w:t>
      </w:r>
    </w:p>
    <w:p w14:paraId="33D2534C" w14:textId="77777777" w:rsidR="00472CFA" w:rsidRDefault="0043790E">
      <w:pPr>
        <w:jc w:val="both"/>
        <w:rPr>
          <w:rFonts w:ascii="Calibri" w:eastAsia="MS Mincho" w:hAnsi="Calibri" w:cs="Arial"/>
        </w:rPr>
      </w:pPr>
      <w:r>
        <w:rPr>
          <w:rFonts w:ascii="Calibri" w:eastAsia="MS Mincho" w:hAnsi="Calibri" w:cs="Arial"/>
        </w:rPr>
        <w:t>Les offres doivent être transmises sous format électronique, en respectant les formats et les standards définis dans le DCE. Les documents doivent être signés électroniquement, conformément aux dispositions de l’article 7.3 du présent règlement de la consultation. Les candidats doivent s’assurer que leur offre est complète et conforme aux exigences du DCE avant sa transmission.</w:t>
      </w:r>
    </w:p>
    <w:p w14:paraId="26D2564A" w14:textId="32FEF571" w:rsidR="00472CFA" w:rsidRDefault="0043790E">
      <w:pPr>
        <w:jc w:val="both"/>
      </w:pPr>
      <w:r>
        <w:rPr>
          <w:rFonts w:ascii="Calibri" w:eastAsia="MS Mincho" w:hAnsi="Calibri" w:cs="Arial"/>
        </w:rPr>
        <w:t>En cas de difficulté technique lors de la transmission de l’offre, les candidats sont invités à contacter le support technique de la plateforme de dématérialisation</w:t>
      </w:r>
      <w:r w:rsidR="00945A37">
        <w:rPr>
          <w:rFonts w:ascii="Calibri" w:eastAsia="MS Mincho" w:hAnsi="Calibri" w:cs="Arial"/>
        </w:rPr>
        <w:t xml:space="preserve">. </w:t>
      </w:r>
      <w:r>
        <w:rPr>
          <w:rFonts w:ascii="Calibri" w:eastAsia="MS Mincho" w:hAnsi="Calibri" w:cs="Arial"/>
        </w:rPr>
        <w:t>Le pouvoir adjudicateur ne pourra être tenu responsable des problèmes techniques rencontrés par les candidats lors de la transmission de leur offre. Les candidats sont donc encouragés à anticiper leur dépôt afin de prévenir tout risque de retard.</w:t>
      </w:r>
    </w:p>
    <w:p w14:paraId="6E4519E4"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26" w:name="_Toc217035176"/>
      <w:r>
        <w:rPr>
          <w:rFonts w:ascii="Calibri" w:eastAsia="Cambria" w:hAnsi="Calibri" w:cs="Arial (Corps CS)"/>
          <w:b/>
          <w:smallCaps/>
          <w:color w:val="000000"/>
          <w:sz w:val="24"/>
          <w:szCs w:val="24"/>
        </w:rPr>
        <w:t>Transmission dématérialisée</w:t>
      </w:r>
      <w:bookmarkEnd w:id="26"/>
    </w:p>
    <w:p w14:paraId="6BFF24D4" w14:textId="498AB8EF" w:rsidR="00472CFA" w:rsidRDefault="0043790E">
      <w:pPr>
        <w:jc w:val="both"/>
      </w:pPr>
      <w:r>
        <w:rPr>
          <w:rFonts w:ascii="Calibri" w:eastAsia="MS Mincho" w:hAnsi="Calibri" w:cs="Arial"/>
        </w:rPr>
        <w:t xml:space="preserve">Le présent article précise les modalités de transmission dématérialisée des offres dans le cadre de la procédure d’appel d’offres ouvert pour l’accord-cadre de maîtrise d’œuvre INRAE Antilles-Guyane. Les offres doivent être déposées exclusivement sur la plateforme de dématérialisation dédiée, accessible à l’adresse suivante : </w:t>
      </w:r>
      <w:hyperlink r:id="rId9" w:history="1">
        <w:r w:rsidR="00945A37" w:rsidRPr="008728BC">
          <w:rPr>
            <w:rStyle w:val="Lienhypertexte"/>
            <w:rFonts w:ascii="Calibri" w:eastAsia="MS Mincho" w:hAnsi="Calibri" w:cs="Arial"/>
          </w:rPr>
          <w:t>https://www.marches-publics.gouv.fr/</w:t>
        </w:r>
      </w:hyperlink>
      <w:r w:rsidR="00945A37">
        <w:rPr>
          <w:rFonts w:ascii="Calibri" w:eastAsia="MS Mincho" w:hAnsi="Calibri" w:cs="Arial"/>
        </w:rPr>
        <w:t>.</w:t>
      </w:r>
    </w:p>
    <w:p w14:paraId="3634D386" w14:textId="77777777" w:rsidR="00472CFA" w:rsidRDefault="0043790E">
      <w:pPr>
        <w:jc w:val="both"/>
        <w:rPr>
          <w:rFonts w:ascii="Calibri" w:eastAsia="MS Mincho" w:hAnsi="Calibri" w:cs="Arial"/>
        </w:rPr>
      </w:pPr>
      <w:r>
        <w:rPr>
          <w:rFonts w:ascii="Calibri" w:eastAsia="MS Mincho" w:hAnsi="Calibri" w:cs="Arial"/>
        </w:rPr>
        <w:t>Les candidats doivent respecter les instructions suivantes pour la transmission dématérialisée de leur offre :</w:t>
      </w:r>
    </w:p>
    <w:p w14:paraId="23A394EC" w14:textId="77777777" w:rsidR="00472CFA" w:rsidRDefault="0043790E">
      <w:pPr>
        <w:numPr>
          <w:ilvl w:val="0"/>
          <w:numId w:val="20"/>
        </w:numPr>
        <w:contextualSpacing/>
        <w:jc w:val="both"/>
        <w:rPr>
          <w:rFonts w:ascii="Calibri" w:eastAsia="MS Mincho" w:hAnsi="Calibri" w:cs="Arial"/>
        </w:rPr>
      </w:pPr>
      <w:r>
        <w:rPr>
          <w:rFonts w:ascii="Calibri" w:eastAsia="MS Mincho" w:hAnsi="Calibri" w:cs="Arial"/>
        </w:rPr>
        <w:t>Les documents doivent être transmis sous format électronique, en utilisant les formats acceptés par la plateforme (PDF, DOCX, XLSX, etc.).</w:t>
      </w:r>
    </w:p>
    <w:p w14:paraId="5594E206" w14:textId="77777777" w:rsidR="00472CFA" w:rsidRDefault="0043790E">
      <w:pPr>
        <w:numPr>
          <w:ilvl w:val="0"/>
          <w:numId w:val="19"/>
        </w:numPr>
        <w:contextualSpacing/>
        <w:jc w:val="both"/>
        <w:rPr>
          <w:rFonts w:ascii="Calibri" w:eastAsia="MS Mincho" w:hAnsi="Calibri" w:cs="Arial"/>
        </w:rPr>
      </w:pPr>
      <w:r>
        <w:rPr>
          <w:rFonts w:ascii="Calibri" w:eastAsia="MS Mincho" w:hAnsi="Calibri" w:cs="Arial"/>
        </w:rPr>
        <w:t>Les fichiers doivent être nommés de manière claire et explicite, en indiquant le nom du candidat, le numéro du lot, et le type de document (par exemple : [nom_du_candidat-1]_Lot1_BPU.pdf).</w:t>
      </w:r>
    </w:p>
    <w:p w14:paraId="4BAFD42D" w14:textId="77777777" w:rsidR="00472CFA" w:rsidRDefault="0043790E">
      <w:pPr>
        <w:numPr>
          <w:ilvl w:val="0"/>
          <w:numId w:val="19"/>
        </w:numPr>
        <w:contextualSpacing/>
        <w:jc w:val="both"/>
        <w:rPr>
          <w:rFonts w:ascii="Calibri" w:eastAsia="MS Mincho" w:hAnsi="Calibri" w:cs="Arial"/>
        </w:rPr>
      </w:pPr>
      <w:r>
        <w:rPr>
          <w:rFonts w:ascii="Calibri" w:eastAsia="MS Mincho" w:hAnsi="Calibri" w:cs="Arial"/>
        </w:rPr>
        <w:t>Les documents doivent être signés électroniquement, conformément aux dispositions de l’article 7.3 du présent règlement de la consultation. Les signatures électroniques doivent être conformes aux exigences du décret n° 2017-1416 du 28 septembre 2017 relatif à la signature électronique.</w:t>
      </w:r>
    </w:p>
    <w:p w14:paraId="336B8D94" w14:textId="27960F12" w:rsidR="00472CFA" w:rsidRDefault="0043790E">
      <w:pPr>
        <w:jc w:val="both"/>
      </w:pPr>
      <w:r>
        <w:rPr>
          <w:rFonts w:ascii="Calibri" w:eastAsia="MS Mincho" w:hAnsi="Calibri" w:cs="Arial"/>
        </w:rPr>
        <w:t>Les candidats doivent s’assurer que leur offre est complète et conforme aux exigences du DCE avant sa transmission. Toute offre incomplète ou non conforme peut être rejetée par le pouvoir adjudicateur. En cas de difficulté technique lors de la transmission de l’offre, les candidats sont invités à contacter le support technique de la plateforme de dématérialisation</w:t>
      </w:r>
      <w:r w:rsidR="00945A37">
        <w:rPr>
          <w:rFonts w:ascii="Calibri" w:eastAsia="MS Mincho" w:hAnsi="Calibri" w:cs="Arial"/>
        </w:rPr>
        <w:t>.</w:t>
      </w:r>
    </w:p>
    <w:p w14:paraId="40232854" w14:textId="77777777" w:rsidR="00472CFA" w:rsidRDefault="0043790E">
      <w:pPr>
        <w:jc w:val="both"/>
        <w:rPr>
          <w:rFonts w:ascii="Calibri" w:eastAsia="MS Mincho" w:hAnsi="Calibri" w:cs="Arial"/>
        </w:rPr>
      </w:pPr>
      <w:r>
        <w:rPr>
          <w:rFonts w:ascii="Calibri" w:eastAsia="MS Mincho" w:hAnsi="Calibri" w:cs="Arial"/>
        </w:rPr>
        <w:t>Le pouvoir adjudicateur recommande aux candidats de procéder au dépôt de leur offre bien avant la date et l’heure limites de remise des offres, afin de prévenir tout risque de retard lié à des problèmes techniques ou à des erreurs de transmission. Les candidats sont informés que la plateforme de dématérialisation génère un accusé de réception électronique pour chaque offre déposée. Cet accusé constitue la preuve de dépôt de l’offre et doit être conservé par le candidat.</w:t>
      </w:r>
    </w:p>
    <w:p w14:paraId="1FCEF5E2"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27" w:name="_Toc217035177"/>
      <w:r>
        <w:rPr>
          <w:rFonts w:ascii="Calibri" w:eastAsia="Cambria" w:hAnsi="Calibri" w:cs="Arial (Corps CS)"/>
          <w:b/>
          <w:smallCaps/>
          <w:color w:val="000000"/>
          <w:sz w:val="24"/>
          <w:szCs w:val="24"/>
        </w:rPr>
        <w:t>Date et heure limites de remise des offres</w:t>
      </w:r>
      <w:bookmarkEnd w:id="27"/>
    </w:p>
    <w:p w14:paraId="61BBB0FF" w14:textId="49A44B21" w:rsidR="00472CFA" w:rsidRDefault="0043790E">
      <w:pPr>
        <w:jc w:val="both"/>
      </w:pPr>
      <w:r>
        <w:rPr>
          <w:rFonts w:ascii="Calibri" w:eastAsia="MS Mincho" w:hAnsi="Calibri" w:cs="Arial"/>
        </w:rPr>
        <w:lastRenderedPageBreak/>
        <w:t>La date et l’heure limites de remise des offres sont fixées au</w:t>
      </w:r>
      <w:r w:rsidR="00945A37">
        <w:rPr>
          <w:rFonts w:ascii="Calibri" w:eastAsia="MS Mincho" w:hAnsi="Calibri" w:cs="Arial"/>
        </w:rPr>
        <w:t xml:space="preserve"> </w:t>
      </w:r>
      <w:r w:rsidR="00945A37" w:rsidRPr="00945A37">
        <w:rPr>
          <w:rFonts w:ascii="Calibri" w:eastAsia="MS Mincho" w:hAnsi="Calibri" w:cs="Arial"/>
          <w:b/>
        </w:rPr>
        <w:t>15 avril 2026 à 17h</w:t>
      </w:r>
      <w:r w:rsidR="00945A37">
        <w:rPr>
          <w:rFonts w:ascii="Calibri" w:eastAsia="MS Mincho" w:hAnsi="Calibri" w:cs="Arial"/>
        </w:rPr>
        <w:t>.</w:t>
      </w:r>
      <w:r>
        <w:rPr>
          <w:rFonts w:ascii="Calibri" w:eastAsia="MS Mincho" w:hAnsi="Calibri" w:cs="Arial"/>
        </w:rPr>
        <w:t xml:space="preserve"> Les candidats doivent impérativement transmettre leurs offres avant cette échéance, sous peine de rejet automatique. La date et l’heure limites sont strictes et ne peuvent faire l’objet d’aucune dérogation, sauf en cas de modification du Dossier de Consultation des Entreprises (DCE) par le pouvoir adjudicateur, conformément aux dispositions de l’article R.2132-2 du Code de la commande publique.</w:t>
      </w:r>
    </w:p>
    <w:p w14:paraId="788214EE" w14:textId="77777777" w:rsidR="00472CFA" w:rsidRDefault="0043790E">
      <w:pPr>
        <w:jc w:val="both"/>
        <w:rPr>
          <w:rFonts w:ascii="Calibri" w:eastAsia="MS Mincho" w:hAnsi="Calibri" w:cs="Arial"/>
        </w:rPr>
      </w:pPr>
      <w:r>
        <w:rPr>
          <w:rFonts w:ascii="Calibri" w:eastAsia="MS Mincho" w:hAnsi="Calibri" w:cs="Arial"/>
        </w:rPr>
        <w:t>Les offres doivent être déposées exclusivement par voie électronique sur la plateforme de dématérialisation dédiée, dont l’adresse est précisée dans le règlement de la consultation. Aucun envoi par courrier postal, courriel ou remise en main propre ne sera accepté. Les candidats sont invités à anticiper les éventuelles difficultés techniques liées à la transmission électronique et à s’assurer que leur offre est correctement déposée avant l’échéance.</w:t>
      </w:r>
    </w:p>
    <w:p w14:paraId="3169D6B0" w14:textId="77777777" w:rsidR="00472CFA" w:rsidRDefault="0043790E">
      <w:pPr>
        <w:jc w:val="both"/>
        <w:rPr>
          <w:rFonts w:ascii="Calibri" w:eastAsia="MS Mincho" w:hAnsi="Calibri" w:cs="Arial"/>
        </w:rPr>
      </w:pPr>
      <w:r>
        <w:rPr>
          <w:rFonts w:ascii="Calibri" w:eastAsia="MS Mincho" w:hAnsi="Calibri" w:cs="Arial"/>
        </w:rPr>
        <w:t>En cas de problème technique empêchant la transmission des offres, les candidats doivent immédiatement en informer le pouvoir adjudicateur via les coordonnées indiquées dans le règlement de la consultation. Le pouvoir adjudicateur se réserve le droit de prolonger le délai de remise des offres si les difficultés techniques sont avérées et affectent plusieurs candidats. Toute prolongation sera notifiée à l’ensemble des candidats via la plateforme de dématérialisation.</w:t>
      </w:r>
    </w:p>
    <w:p w14:paraId="445DEAE4"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28" w:name="_Toc217035178"/>
      <w:r>
        <w:rPr>
          <w:rFonts w:ascii="Calibri" w:eastAsia="Cambria" w:hAnsi="Calibri" w:cs="Arial (Corps CS)"/>
          <w:b/>
          <w:smallCaps/>
          <w:color w:val="000000"/>
          <w:sz w:val="24"/>
          <w:szCs w:val="24"/>
        </w:rPr>
        <w:t>Formats et signatures électroniques</w:t>
      </w:r>
      <w:bookmarkEnd w:id="28"/>
    </w:p>
    <w:p w14:paraId="6208F535" w14:textId="77777777" w:rsidR="00472CFA" w:rsidRDefault="0043790E">
      <w:pPr>
        <w:jc w:val="both"/>
        <w:rPr>
          <w:rFonts w:ascii="Calibri" w:eastAsia="MS Mincho" w:hAnsi="Calibri" w:cs="Arial"/>
        </w:rPr>
      </w:pPr>
      <w:r>
        <w:rPr>
          <w:rFonts w:ascii="Calibri" w:eastAsia="MS Mincho" w:hAnsi="Calibri" w:cs="Arial"/>
        </w:rPr>
        <w:t>Les offres doivent être transmises sous format électronique, conformément aux dispositions de l’article R.2132-11 du Code de la commande publique. Les formats acceptés pour les documents sont les suivants : PDF, DOCX, XLSX, et tout autre format précisé dans le règlement de la consultation. Les fichiers doivent être lisibles, non corrompus, et conformes aux spécifications techniques de la plateforme de dématérialisation.</w:t>
      </w:r>
    </w:p>
    <w:p w14:paraId="0CB3DDEE" w14:textId="77777777" w:rsidR="00472CFA" w:rsidRDefault="0043790E">
      <w:pPr>
        <w:jc w:val="both"/>
        <w:rPr>
          <w:rFonts w:ascii="Calibri" w:eastAsia="MS Mincho" w:hAnsi="Calibri" w:cs="Arial"/>
        </w:rPr>
      </w:pPr>
      <w:r>
        <w:rPr>
          <w:rFonts w:ascii="Calibri" w:eastAsia="MS Mincho" w:hAnsi="Calibri" w:cs="Arial"/>
        </w:rPr>
        <w:t>Les documents nécessitant une signature doivent être signés électroniquement à l’aide d’un certificat de signature électronique conforme aux exigences du décret n° 2017-1416 du 28 septembre 2017 relatif à la signature électronique. Le certificat doit être délivré par une autorité de certification reconnue et garantir l’identité du signataire ainsi que l’intégrité des documents signés. Les candidats doivent s’assurer que leur signature électronique est valide et que les documents signés sont acceptés par la plateforme.</w:t>
      </w:r>
    </w:p>
    <w:p w14:paraId="6B55A79C" w14:textId="77777777" w:rsidR="00472CFA" w:rsidRDefault="0043790E">
      <w:pPr>
        <w:jc w:val="both"/>
        <w:rPr>
          <w:rFonts w:ascii="Calibri" w:eastAsia="MS Mincho" w:hAnsi="Calibri" w:cs="Arial"/>
        </w:rPr>
      </w:pPr>
      <w:r>
        <w:rPr>
          <w:rFonts w:ascii="Calibri" w:eastAsia="MS Mincho" w:hAnsi="Calibri" w:cs="Arial"/>
        </w:rPr>
        <w:t>En cas de non-conformité des formats ou des signatures électroniques, le pouvoir adjudicateur se réserve le droit de rejeter l’offre. Les candidats sont invités à vérifier la conformité de leurs documents avant leur transmission. Toute difficulté liée à la signature électronique doit être signalée au pouvoir adjudicateur dans les meilleurs délais, via les coordonnées indiquées dans le règlement de la consultation.</w:t>
      </w:r>
    </w:p>
    <w:p w14:paraId="500BF5B2" w14:textId="77777777" w:rsidR="00472CFA" w:rsidRDefault="0043790E">
      <w:pPr>
        <w:numPr>
          <w:ilvl w:val="0"/>
          <w:numId w:val="1"/>
        </w:numPr>
        <w:shd w:val="clear" w:color="auto" w:fill="BFBFBF"/>
        <w:spacing w:before="240" w:after="160" w:line="247" w:lineRule="auto"/>
        <w:rPr>
          <w:rFonts w:ascii="Calibri" w:eastAsia="Cambria" w:hAnsi="Calibri" w:cs="Arial (Corps CS)"/>
          <w:b/>
          <w:bCs/>
          <w:caps/>
          <w:color w:val="000000"/>
          <w:sz w:val="24"/>
          <w:szCs w:val="24"/>
        </w:rPr>
      </w:pPr>
      <w:bookmarkStart w:id="29" w:name="_Toc217035179"/>
      <w:r>
        <w:rPr>
          <w:rFonts w:ascii="Calibri" w:eastAsia="Cambria" w:hAnsi="Calibri" w:cs="Arial (Corps CS)"/>
          <w:b/>
          <w:bCs/>
          <w:caps/>
          <w:color w:val="000000"/>
          <w:sz w:val="24"/>
          <w:szCs w:val="24"/>
        </w:rPr>
        <w:t>Jugement des offres</w:t>
      </w:r>
      <w:bookmarkEnd w:id="29"/>
    </w:p>
    <w:p w14:paraId="75DD8866" w14:textId="77777777" w:rsidR="00472CFA" w:rsidRDefault="0043790E">
      <w:pPr>
        <w:jc w:val="both"/>
        <w:rPr>
          <w:rFonts w:ascii="Calibri" w:eastAsia="MS Mincho" w:hAnsi="Calibri" w:cs="Arial"/>
        </w:rPr>
      </w:pPr>
      <w:r>
        <w:rPr>
          <w:rFonts w:ascii="Calibri" w:eastAsia="MS Mincho" w:hAnsi="Calibri" w:cs="Arial"/>
        </w:rPr>
        <w:t>Le jugement des offres est effectué conformément aux dispositions des articles L.2152-1 et R.2152-7 du Code de la commande publique. Les offres sont analysées et classées sur la base des critères de jugement définis dans le règlement de la consultation, en tenant compte de leur pondération respective. Le pouvoir adjudicateur veille à respecter les principes de transparence, d’égalité de traitement et de non-discrimination tout au long de la procédure.</w:t>
      </w:r>
    </w:p>
    <w:p w14:paraId="4EC6AFFC" w14:textId="77777777" w:rsidR="00472CFA" w:rsidRDefault="0043790E">
      <w:pPr>
        <w:jc w:val="both"/>
        <w:rPr>
          <w:rFonts w:ascii="Calibri" w:eastAsia="MS Mincho" w:hAnsi="Calibri" w:cs="Arial"/>
        </w:rPr>
      </w:pPr>
      <w:r>
        <w:rPr>
          <w:rFonts w:ascii="Calibri" w:eastAsia="MS Mincho" w:hAnsi="Calibri" w:cs="Arial"/>
        </w:rPr>
        <w:lastRenderedPageBreak/>
        <w:t>Les offres sont évaluées en deux étapes distinctes. Dans un premier temps, une analyse technique et qualitative est réalisée sur la base des mémoires techniques et des documents remis par les candidats. Cette analyse vise à vérifier la conformité des offres aux exigences du DCE et à apprécier leur pertinence par rapport aux besoins exprimés. Dans un second temps, une analyse financière est effectuée sur la base des Bordereaux de Prix Unitaires (BPU) et des Détails Quantitatifs Estimatifs (DQE) fournis par les candidats. Cette analyse permet de vérifier la compétitivité des prix proposés et leur cohérence avec les prestations attendues.</w:t>
      </w:r>
    </w:p>
    <w:p w14:paraId="375A24FF" w14:textId="77777777" w:rsidR="00472CFA" w:rsidRDefault="0043790E">
      <w:pPr>
        <w:jc w:val="both"/>
        <w:rPr>
          <w:rFonts w:ascii="Calibri" w:eastAsia="MS Mincho" w:hAnsi="Calibri" w:cs="Arial"/>
        </w:rPr>
      </w:pPr>
      <w:r>
        <w:rPr>
          <w:rFonts w:ascii="Calibri" w:eastAsia="MS Mincho" w:hAnsi="Calibri" w:cs="Arial"/>
        </w:rPr>
        <w:t>Le pouvoir adjudicateur se réserve le droit de demander des précisions ou des compléments d’information aux candidats, dans le respect des dispositions de l’article R.2152-2 du Code de la commande publique. Les offres anormalement basses sont identifiées et traitées conformément aux articles L.2152-5 et R.2152-3 du Code de la commande publique. En cas de rejet d’une offre anormalement basse, le candidat concerné est informé par écrit des motifs de cette décision.</w:t>
      </w:r>
    </w:p>
    <w:p w14:paraId="184A2B4C"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30" w:name="_Toc217035180"/>
      <w:r>
        <w:rPr>
          <w:rFonts w:ascii="Calibri" w:eastAsia="Cambria" w:hAnsi="Calibri" w:cs="Arial (Corps CS)"/>
          <w:b/>
          <w:smallCaps/>
          <w:color w:val="000000"/>
          <w:sz w:val="24"/>
          <w:szCs w:val="24"/>
        </w:rPr>
        <w:t>Critères de jugement et pondération</w:t>
      </w:r>
      <w:bookmarkEnd w:id="30"/>
    </w:p>
    <w:p w14:paraId="706BC239" w14:textId="77777777" w:rsidR="00472CFA" w:rsidRDefault="0043790E">
      <w:pPr>
        <w:jc w:val="both"/>
        <w:rPr>
          <w:rFonts w:ascii="Calibri" w:eastAsia="MS Mincho" w:hAnsi="Calibri" w:cs="Arial"/>
        </w:rPr>
      </w:pPr>
      <w:r>
        <w:rPr>
          <w:rFonts w:ascii="Calibri" w:eastAsia="MS Mincho" w:hAnsi="Calibri" w:cs="Arial"/>
        </w:rPr>
        <w:t>Les critères de jugement des offres et leur pondération sont définis comme suit, conformément aux dispositions de l’article R.2152-7 du Code de la commande publique :</w:t>
      </w:r>
    </w:p>
    <w:p w14:paraId="7106E6B6" w14:textId="77777777" w:rsidR="00472CFA" w:rsidRDefault="0043790E">
      <w:pPr>
        <w:numPr>
          <w:ilvl w:val="0"/>
          <w:numId w:val="22"/>
        </w:numPr>
        <w:contextualSpacing/>
        <w:jc w:val="both"/>
      </w:pPr>
      <w:r>
        <w:rPr>
          <w:rFonts w:ascii="Calibri" w:eastAsia="MS Mincho" w:hAnsi="Calibri" w:cs="Arial"/>
          <w:b/>
        </w:rPr>
        <w:t>Valeur technique</w:t>
      </w:r>
      <w:r>
        <w:rPr>
          <w:rFonts w:ascii="Calibri" w:eastAsia="MS Mincho" w:hAnsi="Calibri" w:cs="Arial"/>
        </w:rPr>
        <w:t xml:space="preserve"> (45 %) : Ce critère évalue la qualité des prestations proposées, notamment au regard de la méthodologie, des moyens humains et matériels mobilisés, et de la pertinence des solutions techniques. Les sous-critères incluent la compréhension des besoins, l’adaptabilité aux contraintes spécifiques des sites, et la qualité des livrables attendus.</w:t>
      </w:r>
    </w:p>
    <w:p w14:paraId="30CDC470" w14:textId="77777777" w:rsidR="00472CFA" w:rsidRDefault="0043790E">
      <w:pPr>
        <w:numPr>
          <w:ilvl w:val="0"/>
          <w:numId w:val="21"/>
        </w:numPr>
        <w:contextualSpacing/>
        <w:jc w:val="both"/>
      </w:pPr>
      <w:r>
        <w:rPr>
          <w:rFonts w:ascii="Calibri" w:eastAsia="MS Mincho" w:hAnsi="Calibri" w:cs="Arial"/>
          <w:b/>
        </w:rPr>
        <w:t>Performance environnementale et énergétique</w:t>
      </w:r>
      <w:r>
        <w:rPr>
          <w:rFonts w:ascii="Calibri" w:eastAsia="MS Mincho" w:hAnsi="Calibri" w:cs="Arial"/>
        </w:rPr>
        <w:t xml:space="preserve"> (10 %) : Ce critère apprécie la capacité des candidats à intégrer des solutions durables et innovantes dans leurs prestations, en tenant compte des objectifs de réduction de l’empreinte carbone, de préservation de la biodiversité, et d’optimisation des consommations énergétiques.</w:t>
      </w:r>
    </w:p>
    <w:p w14:paraId="60F5BAF4" w14:textId="77777777" w:rsidR="00472CFA" w:rsidRDefault="0043790E">
      <w:pPr>
        <w:numPr>
          <w:ilvl w:val="0"/>
          <w:numId w:val="21"/>
        </w:numPr>
        <w:contextualSpacing/>
        <w:jc w:val="both"/>
      </w:pPr>
      <w:r>
        <w:rPr>
          <w:rFonts w:ascii="Calibri" w:eastAsia="MS Mincho" w:hAnsi="Calibri" w:cs="Arial"/>
          <w:b/>
        </w:rPr>
        <w:t>Prix des prestations</w:t>
      </w:r>
      <w:r>
        <w:rPr>
          <w:rFonts w:ascii="Calibri" w:eastAsia="MS Mincho" w:hAnsi="Calibri" w:cs="Arial"/>
        </w:rPr>
        <w:t xml:space="preserve"> (30 %) : Ce critère est basé sur l’analyse des Bordereaux de Prix Unitaires (BPU) et des Détails Quantitatifs Estimatifs (DQE) remis par les candidats. </w:t>
      </w:r>
      <w:r>
        <w:rPr>
          <w:rFonts w:ascii="Calibri" w:eastAsia="MS Mincho" w:hAnsi="Calibri" w:cs="Arial"/>
          <w:b/>
          <w:bCs/>
        </w:rPr>
        <w:t>Les taux et montant du DQE doivent être conformes à ceux présentés au BPU.</w:t>
      </w:r>
      <w:r>
        <w:rPr>
          <w:rFonts w:ascii="Calibri" w:eastAsia="MS Mincho" w:hAnsi="Calibri" w:cs="Arial"/>
        </w:rPr>
        <w:t xml:space="preserve"> Il vise à évaluer la compétitivité des prix proposés, leur cohérence avec les prestations attendues, et leur adéquation aux besoins exprimés.</w:t>
      </w:r>
    </w:p>
    <w:p w14:paraId="4E11FA4E" w14:textId="77777777" w:rsidR="00472CFA" w:rsidRDefault="0043790E">
      <w:pPr>
        <w:numPr>
          <w:ilvl w:val="0"/>
          <w:numId w:val="21"/>
        </w:numPr>
        <w:contextualSpacing/>
        <w:jc w:val="both"/>
      </w:pPr>
      <w:r>
        <w:rPr>
          <w:rFonts w:ascii="Calibri" w:eastAsia="MS Mincho" w:hAnsi="Calibri" w:cs="Arial"/>
          <w:b/>
        </w:rPr>
        <w:t>Organisation et réactivité</w:t>
      </w:r>
      <w:r>
        <w:rPr>
          <w:rFonts w:ascii="Calibri" w:eastAsia="MS Mincho" w:hAnsi="Calibri" w:cs="Arial"/>
        </w:rPr>
        <w:t xml:space="preserve"> (15 %) : Ce critère évalue la capacité des candidats à assurer une gestion efficace des prestations, notamment en termes de respect des délais, de coordination des intervenants, et de réponse aux imprévus.</w:t>
      </w:r>
    </w:p>
    <w:p w14:paraId="22BC701C" w14:textId="77777777" w:rsidR="00472CFA" w:rsidRDefault="0043790E">
      <w:pPr>
        <w:jc w:val="both"/>
        <w:rPr>
          <w:rFonts w:ascii="Calibri" w:eastAsia="MS Mincho" w:hAnsi="Calibri" w:cs="Arial"/>
        </w:rPr>
      </w:pPr>
      <w:r>
        <w:rPr>
          <w:rFonts w:ascii="Calibri" w:eastAsia="MS Mincho" w:hAnsi="Calibri" w:cs="Arial"/>
        </w:rPr>
        <w:t>Les offres sont classées en fonction des notes obtenues pour chaque critère, pondérées selon les pourcentages indiqués. Le candidat ayant obtenu la meilleure note globale est retenu pour l’attribution du marché, sous réserve de la conformité de son offre.</w:t>
      </w:r>
    </w:p>
    <w:p w14:paraId="3225999F"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31" w:name="_Toc217035181"/>
      <w:r>
        <w:rPr>
          <w:rFonts w:ascii="Calibri" w:eastAsia="Cambria" w:hAnsi="Calibri" w:cs="Arial (Corps CS)"/>
          <w:b/>
          <w:smallCaps/>
          <w:color w:val="000000"/>
          <w:sz w:val="24"/>
          <w:szCs w:val="24"/>
        </w:rPr>
        <w:t>Modalités d’évaluation</w:t>
      </w:r>
      <w:bookmarkEnd w:id="31"/>
    </w:p>
    <w:p w14:paraId="67832C1F" w14:textId="77777777" w:rsidR="00472CFA" w:rsidRDefault="0043790E">
      <w:pPr>
        <w:jc w:val="both"/>
        <w:rPr>
          <w:rFonts w:ascii="Calibri" w:eastAsia="MS Mincho" w:hAnsi="Calibri" w:cs="Arial"/>
        </w:rPr>
      </w:pPr>
      <w:r>
        <w:rPr>
          <w:rFonts w:ascii="Calibri" w:eastAsia="MS Mincho" w:hAnsi="Calibri" w:cs="Arial"/>
        </w:rPr>
        <w:t>Les modalités d’évaluation des offres sont définies conformément aux articles L.2152-1 et R.2152-7 du Code de la commande publique. L’évaluation est réalisée en deux étapes : une analyse qualitative et une analyse financière.</w:t>
      </w:r>
    </w:p>
    <w:p w14:paraId="2E40866B" w14:textId="77777777" w:rsidR="00472CFA" w:rsidRDefault="0043790E">
      <w:pPr>
        <w:jc w:val="both"/>
        <w:rPr>
          <w:rFonts w:ascii="Calibri" w:eastAsia="MS Mincho" w:hAnsi="Calibri" w:cs="Arial"/>
        </w:rPr>
      </w:pPr>
      <w:r>
        <w:rPr>
          <w:rFonts w:ascii="Calibri" w:eastAsia="MS Mincho" w:hAnsi="Calibri" w:cs="Arial"/>
        </w:rPr>
        <w:t xml:space="preserve">Dans le cadre de l’analyse qualitative, le pouvoir adjudicateur examine les mémoires techniques et les documents remis par les candidats. Cette analyse porte sur la pertinence des solutions proposées, la méthodologie, les </w:t>
      </w:r>
      <w:r>
        <w:rPr>
          <w:rFonts w:ascii="Calibri" w:eastAsia="MS Mincho" w:hAnsi="Calibri" w:cs="Arial"/>
        </w:rPr>
        <w:lastRenderedPageBreak/>
        <w:t>moyens humains et matériels mobilisés, ainsi que la capacité des candidats à répondre aux exigences techniques, réglementaires et environnementales du DCE. Les performances environnementales et énergétiques sont également évaluées, en tenant compte des solutions proposées pour réduire l’empreinte carbone, optimiser les consommations énergétiques, et préserver la biodiversité.</w:t>
      </w:r>
    </w:p>
    <w:p w14:paraId="7C717296" w14:textId="77777777" w:rsidR="00472CFA" w:rsidRDefault="0043790E">
      <w:pPr>
        <w:jc w:val="both"/>
        <w:rPr>
          <w:rFonts w:ascii="Calibri" w:eastAsia="MS Mincho" w:hAnsi="Calibri" w:cs="Arial"/>
        </w:rPr>
      </w:pPr>
      <w:r>
        <w:rPr>
          <w:rFonts w:ascii="Calibri" w:eastAsia="MS Mincho" w:hAnsi="Calibri" w:cs="Arial"/>
        </w:rPr>
        <w:t>L’analyse financière est réalisée sur la base des Bordereaux de Prix Unitaires (BPU) et des Détails Quantitatifs Estimatifs (DQE) fournis par les candidats. Cette analyse vise à vérifier la compétitivité des prix proposés, leur cohérence avec les prestations attendues, et leur adéquation aux besoins exprimés. Les offres anormalement basses sont identifiées et traitées conformément aux articles L.2152-5 et R.2152-3 du Code de la commande publique. En cas de doute sur la viabilité d’une offre, le pouvoir adjudicateur peut demander des précisions ou des justificatifs au candidat concerné.</w:t>
      </w:r>
    </w:p>
    <w:p w14:paraId="2745DBC8" w14:textId="77777777" w:rsidR="00472CFA" w:rsidRDefault="0043790E">
      <w:pPr>
        <w:jc w:val="both"/>
        <w:rPr>
          <w:rFonts w:ascii="Calibri" w:eastAsia="MS Mincho" w:hAnsi="Calibri" w:cs="Arial"/>
        </w:rPr>
      </w:pPr>
      <w:r>
        <w:rPr>
          <w:rFonts w:ascii="Calibri" w:eastAsia="MS Mincho" w:hAnsi="Calibri" w:cs="Arial"/>
        </w:rPr>
        <w:t>Les offres sont notées sur une échelle de 0 à 100 pour chaque critère, en fonction des éléments fournis par les candidats. Les notes sont ensuite pondérées selon les pourcentages définis dans le règlement de la consultation. Le classement final des offres est établi sur la base des notes globales obtenues, et le marché est attribué au candidat ayant obtenu la meilleure note, sous réserve de la conformité de son offre.</w:t>
      </w:r>
    </w:p>
    <w:p w14:paraId="3E0D41BA" w14:textId="77777777" w:rsidR="00472CFA" w:rsidRDefault="0043790E">
      <w:pPr>
        <w:numPr>
          <w:ilvl w:val="0"/>
          <w:numId w:val="1"/>
        </w:numPr>
        <w:shd w:val="clear" w:color="auto" w:fill="BFBFBF"/>
        <w:spacing w:before="240" w:after="160" w:line="247" w:lineRule="auto"/>
        <w:rPr>
          <w:rFonts w:ascii="Calibri" w:eastAsia="Cambria" w:hAnsi="Calibri" w:cs="Arial (Corps CS)"/>
          <w:b/>
          <w:bCs/>
          <w:caps/>
          <w:color w:val="000000"/>
          <w:sz w:val="24"/>
          <w:szCs w:val="24"/>
        </w:rPr>
      </w:pPr>
      <w:bookmarkStart w:id="32" w:name="_Toc217035182"/>
      <w:r>
        <w:rPr>
          <w:rFonts w:ascii="Calibri" w:eastAsia="Cambria" w:hAnsi="Calibri" w:cs="Arial (Corps CS)"/>
          <w:b/>
          <w:bCs/>
          <w:caps/>
          <w:color w:val="000000"/>
          <w:sz w:val="24"/>
          <w:szCs w:val="24"/>
        </w:rPr>
        <w:t>Attribution de l’accord-cadre</w:t>
      </w:r>
      <w:bookmarkEnd w:id="32"/>
    </w:p>
    <w:p w14:paraId="1D9F4DA5" w14:textId="77777777" w:rsidR="00472CFA" w:rsidRDefault="0043790E">
      <w:pPr>
        <w:jc w:val="both"/>
        <w:rPr>
          <w:rFonts w:ascii="Calibri" w:eastAsia="MS Mincho" w:hAnsi="Calibri" w:cs="Arial"/>
        </w:rPr>
      </w:pPr>
      <w:r>
        <w:rPr>
          <w:rFonts w:ascii="Calibri" w:eastAsia="MS Mincho" w:hAnsi="Calibri" w:cs="Arial"/>
        </w:rPr>
        <w:t>La présente clause définit les modalités d’attribution de l’accord-cadre de maîtrise d’œuvre, conformément aux dispositions du Code de la commande publique et aux stipulations du règlement de la consultation. L’attribution de l’accord-cadre sera réalisée à l’issue de l’analyse des offres, sur la base des critères de jugement définis à l’article 8 du règlement de la consultation.</w:t>
      </w:r>
    </w:p>
    <w:p w14:paraId="03727AF4" w14:textId="77777777" w:rsidR="00472CFA" w:rsidRDefault="0043790E">
      <w:pPr>
        <w:jc w:val="both"/>
        <w:rPr>
          <w:rFonts w:ascii="Calibri" w:eastAsia="MS Mincho" w:hAnsi="Calibri" w:cs="Arial"/>
        </w:rPr>
      </w:pPr>
      <w:r>
        <w:rPr>
          <w:rFonts w:ascii="Calibri" w:eastAsia="MS Mincho" w:hAnsi="Calibri" w:cs="Arial"/>
        </w:rPr>
        <w:t>Le pouvoir adjudicateur procèdera à une évaluation des offres en appliquant les critères de jugement et leur pondération respective. Les offres seront classées par ordre décroissant de leur note globale, calculée selon les modalités précisées dans le règlement de la consultation. Les critères incluent notamment la valeur technique, la performance environnementale et énergétique, le prix des prestations, ainsi que l’organisation et la réactivité des candidats.</w:t>
      </w:r>
    </w:p>
    <w:p w14:paraId="59E3851B" w14:textId="77777777" w:rsidR="00472CFA" w:rsidRDefault="0043790E">
      <w:pPr>
        <w:jc w:val="both"/>
        <w:rPr>
          <w:rFonts w:ascii="Calibri" w:eastAsia="MS Mincho" w:hAnsi="Calibri" w:cs="Arial"/>
        </w:rPr>
      </w:pPr>
      <w:r>
        <w:rPr>
          <w:rFonts w:ascii="Calibri" w:eastAsia="MS Mincho" w:hAnsi="Calibri" w:cs="Arial"/>
        </w:rPr>
        <w:t>L’attribution de l’accord-cadre sera formalisée par une notification écrite adressée au candidat retenu pour chaque lot. Cette notification précisera les conditions d’exécution des prestations, les montants maximums par lot, ainsi que les modalités de gestion des bons de commande. Les candidats non retenus seront informés par écrit des motifs de rejet de leur offre, conformément aux dispositions des articles L.2181-1 et R.2181-1 du Code de la commande publique.</w:t>
      </w:r>
    </w:p>
    <w:p w14:paraId="08764BEE" w14:textId="77777777" w:rsidR="00472CFA" w:rsidRDefault="0043790E">
      <w:pPr>
        <w:jc w:val="both"/>
        <w:rPr>
          <w:rFonts w:ascii="Calibri" w:eastAsia="MS Mincho" w:hAnsi="Calibri" w:cs="Arial"/>
        </w:rPr>
      </w:pPr>
      <w:r>
        <w:rPr>
          <w:rFonts w:ascii="Calibri" w:eastAsia="MS Mincho" w:hAnsi="Calibri" w:cs="Arial"/>
        </w:rPr>
        <w:t>En cas d’égalité de notes entre plusieurs offres, le pouvoir adjudicateur se réserve le droit de départager les candidats sur la base d’un critère subsidiaire, tel que la meilleure performance environnementale ou la meilleure réactivité. Cette décision sera motivée et communiquée aux candidats concernés.</w:t>
      </w:r>
    </w:p>
    <w:p w14:paraId="3D4BAB40" w14:textId="77777777" w:rsidR="00472CFA" w:rsidRDefault="0043790E">
      <w:pPr>
        <w:jc w:val="both"/>
        <w:rPr>
          <w:rFonts w:ascii="Calibri" w:eastAsia="MS Mincho" w:hAnsi="Calibri" w:cs="Arial"/>
        </w:rPr>
      </w:pPr>
      <w:r>
        <w:rPr>
          <w:rFonts w:ascii="Calibri" w:eastAsia="MS Mincho" w:hAnsi="Calibri" w:cs="Arial"/>
        </w:rPr>
        <w:t>Enfin, le pouvoir adjudicateur se réserve le droit de ne pas attribuer l’accord-cadre si aucune offre ne répond de manière satisfaisante aux exigences du marché ou si les conditions économiques ne permettent pas de garantir une exécution conforme aux objectifs définis dans le CCTP et le CCAP.</w:t>
      </w:r>
    </w:p>
    <w:p w14:paraId="1AF57C29"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33" w:name="_Toc217035183"/>
      <w:r>
        <w:rPr>
          <w:rFonts w:ascii="Calibri" w:eastAsia="Cambria" w:hAnsi="Calibri" w:cs="Arial (Corps CS)"/>
          <w:b/>
          <w:smallCaps/>
          <w:color w:val="000000"/>
          <w:sz w:val="24"/>
          <w:szCs w:val="24"/>
        </w:rPr>
        <w:lastRenderedPageBreak/>
        <w:t>Classement des offres</w:t>
      </w:r>
      <w:bookmarkEnd w:id="33"/>
    </w:p>
    <w:p w14:paraId="56A8F66D" w14:textId="77777777" w:rsidR="00472CFA" w:rsidRDefault="0043790E">
      <w:pPr>
        <w:jc w:val="both"/>
        <w:rPr>
          <w:rFonts w:ascii="Calibri" w:eastAsia="MS Mincho" w:hAnsi="Calibri" w:cs="Arial"/>
        </w:rPr>
      </w:pPr>
      <w:r>
        <w:rPr>
          <w:rFonts w:ascii="Calibri" w:eastAsia="MS Mincho" w:hAnsi="Calibri" w:cs="Arial"/>
        </w:rPr>
        <w:t>Le classement des offres dans le cadre de la présente consultation sera effectué conformément aux critères de jugement définis à l’article 8 du règlement de la consultation. Chaque offre sera évaluée sur la base des éléments techniques, environnementaux, financiers et organisationnels remis par les candidats, en tenant compte des pondérations spécifiques attribuées à chaque critère.</w:t>
      </w:r>
    </w:p>
    <w:p w14:paraId="2B02A305" w14:textId="77777777" w:rsidR="00472CFA" w:rsidRDefault="0043790E">
      <w:pPr>
        <w:jc w:val="both"/>
        <w:rPr>
          <w:rFonts w:ascii="Calibri" w:eastAsia="MS Mincho" w:hAnsi="Calibri" w:cs="Arial"/>
        </w:rPr>
      </w:pPr>
      <w:r>
        <w:rPr>
          <w:rFonts w:ascii="Calibri" w:eastAsia="MS Mincho" w:hAnsi="Calibri" w:cs="Arial"/>
        </w:rPr>
        <w:t>La valeur technique des offres sera analysée sur la base du mémoire technique, qui devra détailler les méthodologies proposées, les moyens humains et matériels mobilisés, ainsi que les solutions techniques adaptées aux spécificités des lots. Une attention particulière sera portée à la qualité des livrables, à la pertinence des outils numériques et au recours éventuel au BIM.</w:t>
      </w:r>
    </w:p>
    <w:p w14:paraId="1F34AE1E" w14:textId="77777777" w:rsidR="00472CFA" w:rsidRDefault="0043790E">
      <w:pPr>
        <w:jc w:val="both"/>
        <w:rPr>
          <w:rFonts w:ascii="Calibri" w:eastAsia="MS Mincho" w:hAnsi="Calibri" w:cs="Arial"/>
        </w:rPr>
      </w:pPr>
      <w:r>
        <w:rPr>
          <w:rFonts w:ascii="Calibri" w:eastAsia="MS Mincho" w:hAnsi="Calibri" w:cs="Arial"/>
        </w:rPr>
        <w:t>La performance environnementale et énergétique sera évaluée en fonction des engagements des candidats en matière de développement durable, de réduction de l’empreinte carbone, et d’intégration des énergies renouvelables. Les candidats devront démontrer leur capacité à répondre aux enjeux climatiques et environnementaux propres à la région Antilles-Guyane.</w:t>
      </w:r>
    </w:p>
    <w:p w14:paraId="43086A53" w14:textId="77777777" w:rsidR="00472CFA" w:rsidRDefault="0043790E">
      <w:pPr>
        <w:jc w:val="both"/>
        <w:rPr>
          <w:rFonts w:ascii="Calibri" w:eastAsia="MS Mincho" w:hAnsi="Calibri" w:cs="Arial"/>
        </w:rPr>
      </w:pPr>
      <w:r>
        <w:rPr>
          <w:rFonts w:ascii="Calibri" w:eastAsia="MS Mincho" w:hAnsi="Calibri" w:cs="Arial"/>
        </w:rPr>
        <w:t>Le prix des prestations sera analysé sur la base du Détail Quantitatif Estimatif (DQE) remis par les candidats. Bien que le DQE soit strictement non contractuel, il permettra de vérifier la cohérence des prix unitaires et de détecter les éventuelles offres anormalement basses, conformément aux articles L.2152-5 et R.2152-3 du Code de la commande publique.</w:t>
      </w:r>
    </w:p>
    <w:p w14:paraId="34E3B92F" w14:textId="77777777" w:rsidR="00472CFA" w:rsidRDefault="0043790E">
      <w:pPr>
        <w:jc w:val="both"/>
        <w:rPr>
          <w:rFonts w:ascii="Calibri" w:eastAsia="MS Mincho" w:hAnsi="Calibri" w:cs="Arial"/>
        </w:rPr>
      </w:pPr>
      <w:r>
        <w:rPr>
          <w:rFonts w:ascii="Calibri" w:eastAsia="MS Mincho" w:hAnsi="Calibri" w:cs="Arial"/>
        </w:rPr>
        <w:t>L’organisation et la réactivité des candidats seront évaluées sur la base des propositions relatives à la gestion des missions, à la coordination des intervenants, et à la capacité à répondre aux imprévus. Les candidats devront démontrer leur aptitude à respecter les délais impartis et à garantir une communication fluide avec le maître d’ouvrage.</w:t>
      </w:r>
    </w:p>
    <w:p w14:paraId="1F442169" w14:textId="77777777" w:rsidR="00472CFA" w:rsidRDefault="0043790E">
      <w:pPr>
        <w:jc w:val="both"/>
        <w:rPr>
          <w:rFonts w:ascii="Calibri" w:eastAsia="MS Mincho" w:hAnsi="Calibri" w:cs="Arial"/>
        </w:rPr>
      </w:pPr>
      <w:r>
        <w:rPr>
          <w:rFonts w:ascii="Calibri" w:eastAsia="MS Mincho" w:hAnsi="Calibri" w:cs="Arial"/>
        </w:rPr>
        <w:t>Les notes attribuées à chaque critère seront consolidées pour établir une note globale par offre. Les offres seront classées par ordre décroissant de leur note globale, et le classement sera communiqué aux candidats dans le cadre de la notification des résultats.</w:t>
      </w:r>
    </w:p>
    <w:p w14:paraId="13C26AC0"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34" w:name="_Toc217035184"/>
      <w:r>
        <w:rPr>
          <w:rFonts w:ascii="Calibri" w:eastAsia="Cambria" w:hAnsi="Calibri" w:cs="Arial (Corps CS)"/>
          <w:b/>
          <w:smallCaps/>
          <w:color w:val="000000"/>
          <w:sz w:val="24"/>
          <w:szCs w:val="24"/>
        </w:rPr>
        <w:t>Attribution par lot</w:t>
      </w:r>
      <w:bookmarkEnd w:id="34"/>
    </w:p>
    <w:p w14:paraId="248604AB" w14:textId="77777777" w:rsidR="00472CFA" w:rsidRDefault="0043790E">
      <w:pPr>
        <w:jc w:val="both"/>
        <w:rPr>
          <w:rFonts w:ascii="Calibri" w:eastAsia="MS Mincho" w:hAnsi="Calibri" w:cs="Arial"/>
        </w:rPr>
      </w:pPr>
      <w:r>
        <w:rPr>
          <w:rFonts w:ascii="Calibri" w:eastAsia="MS Mincho" w:hAnsi="Calibri" w:cs="Arial"/>
        </w:rPr>
        <w:t>La présente clause précise les modalités d’attribution de l’accord-cadre par lot, conformément aux dispositions du Code de la commande publique et aux stipulations du règlement de la consultation. L’accord-cadre est structuré en deux lots distincts : le Lot 1 relatif aux infrastructures et le Lot 2 relatif aux bâtiments. Chaque lot fera l’objet d’une attribution séparée.</w:t>
      </w:r>
    </w:p>
    <w:p w14:paraId="446DE172" w14:textId="77777777" w:rsidR="00472CFA" w:rsidRDefault="0043790E">
      <w:pPr>
        <w:jc w:val="both"/>
        <w:rPr>
          <w:rFonts w:ascii="Calibri" w:eastAsia="MS Mincho" w:hAnsi="Calibri" w:cs="Arial"/>
        </w:rPr>
      </w:pPr>
      <w:r>
        <w:rPr>
          <w:rFonts w:ascii="Calibri" w:eastAsia="MS Mincho" w:hAnsi="Calibri" w:cs="Arial"/>
        </w:rPr>
        <w:t>Le pouvoir adjudicateur attribuera chaque lot à un maximum de trois titulaires, afin de garantir une mise en concurrence régulière et une capacité suffisante pour répondre aux besoins du maître d’ouvrage. Les candidats peuvent soumissionner pour un ou plusieurs lots, mais doivent présenter une offre distincte pour chaque lot, incluant un acte d’engagement, un mémoire technique, un DQE, et un BPU spécifiques.</w:t>
      </w:r>
    </w:p>
    <w:p w14:paraId="466EBDA3" w14:textId="77777777" w:rsidR="00472CFA" w:rsidRDefault="0043790E">
      <w:pPr>
        <w:jc w:val="both"/>
        <w:rPr>
          <w:rFonts w:ascii="Calibri" w:eastAsia="MS Mincho" w:hAnsi="Calibri" w:cs="Arial"/>
        </w:rPr>
      </w:pPr>
      <w:r>
        <w:rPr>
          <w:rFonts w:ascii="Calibri" w:eastAsia="MS Mincho" w:hAnsi="Calibri" w:cs="Arial"/>
        </w:rPr>
        <w:lastRenderedPageBreak/>
        <w:t>L’attribution des lots sera réalisée sur la base des critères de jugement définis à l’article 8 du règlement de la consultation. Les offres seront évaluées indépendamment pour chaque lot, en tenant compte des spécificités techniques, environnementales et financières propres à chaque catégorie de prestations.</w:t>
      </w:r>
    </w:p>
    <w:p w14:paraId="216DED49" w14:textId="77777777" w:rsidR="00472CFA" w:rsidRDefault="0043790E">
      <w:pPr>
        <w:jc w:val="both"/>
        <w:rPr>
          <w:rFonts w:ascii="Calibri" w:eastAsia="MS Mincho" w:hAnsi="Calibri" w:cs="Arial"/>
        </w:rPr>
      </w:pPr>
      <w:r>
        <w:rPr>
          <w:rFonts w:ascii="Calibri" w:eastAsia="MS Mincho" w:hAnsi="Calibri" w:cs="Arial"/>
        </w:rPr>
        <w:t>Le pouvoir adjudicateur se réserve le droit d’attribuer un ou plusieurs lots à un même opérateur économique, si celui-ci présente les meilleures offres pour les lots concernés. Cette décision sera motivée et communiquée aux candidats dans le cadre de la notification des résultats.</w:t>
      </w:r>
    </w:p>
    <w:p w14:paraId="09F6573C" w14:textId="77777777" w:rsidR="0064019B" w:rsidRDefault="0043790E">
      <w:pPr>
        <w:jc w:val="both"/>
        <w:rPr>
          <w:rFonts w:ascii="Calibri" w:eastAsia="MS Mincho" w:hAnsi="Calibri" w:cs="Arial"/>
        </w:rPr>
      </w:pPr>
      <w:r>
        <w:rPr>
          <w:rFonts w:ascii="Calibri" w:eastAsia="MS Mincho" w:hAnsi="Calibri" w:cs="Arial"/>
        </w:rPr>
        <w:t>En cas de non-attribution d’un lot, le pouvoir adjudicateur pourra relancer une procédure de consultation pour le lot concerné, conformément aux dispositions du Code</w:t>
      </w:r>
    </w:p>
    <w:p w14:paraId="1134BF8C" w14:textId="659B180B" w:rsidR="00472CFA" w:rsidRDefault="0043790E">
      <w:pPr>
        <w:jc w:val="both"/>
        <w:rPr>
          <w:rFonts w:ascii="Calibri" w:eastAsia="MS Mincho" w:hAnsi="Calibri" w:cs="Arial"/>
        </w:rPr>
      </w:pPr>
      <w:r>
        <w:rPr>
          <w:rFonts w:ascii="Calibri" w:eastAsia="MS Mincho" w:hAnsi="Calibri" w:cs="Arial"/>
        </w:rPr>
        <w:t xml:space="preserve"> </w:t>
      </w:r>
      <w:proofErr w:type="gramStart"/>
      <w:r>
        <w:rPr>
          <w:rFonts w:ascii="Calibri" w:eastAsia="MS Mincho" w:hAnsi="Calibri" w:cs="Arial"/>
        </w:rPr>
        <w:t>de</w:t>
      </w:r>
      <w:proofErr w:type="gramEnd"/>
      <w:r>
        <w:rPr>
          <w:rFonts w:ascii="Calibri" w:eastAsia="MS Mincho" w:hAnsi="Calibri" w:cs="Arial"/>
        </w:rPr>
        <w:t xml:space="preserve"> la commande publique. Les candidats non retenus seront informés des motifs de rejet de leur offre, et les titulaires des lots attribués seront invités à signer l’acte d’engagement correspondant.</w:t>
      </w:r>
    </w:p>
    <w:p w14:paraId="2FA50FEA" w14:textId="77777777" w:rsidR="00472CFA" w:rsidRDefault="0043790E">
      <w:pPr>
        <w:numPr>
          <w:ilvl w:val="0"/>
          <w:numId w:val="1"/>
        </w:numPr>
        <w:shd w:val="clear" w:color="auto" w:fill="BFBFBF"/>
        <w:spacing w:before="240" w:after="160" w:line="247" w:lineRule="auto"/>
        <w:rPr>
          <w:rFonts w:ascii="Calibri" w:eastAsia="Cambria" w:hAnsi="Calibri" w:cs="Arial (Corps CS)"/>
          <w:b/>
          <w:bCs/>
          <w:caps/>
          <w:color w:val="000000"/>
          <w:sz w:val="24"/>
          <w:szCs w:val="24"/>
        </w:rPr>
      </w:pPr>
      <w:bookmarkStart w:id="35" w:name="_Toc217035185"/>
      <w:r>
        <w:rPr>
          <w:rFonts w:ascii="Calibri" w:eastAsia="Cambria" w:hAnsi="Calibri" w:cs="Arial (Corps CS)"/>
          <w:b/>
          <w:bCs/>
          <w:caps/>
          <w:color w:val="000000"/>
          <w:sz w:val="24"/>
          <w:szCs w:val="24"/>
        </w:rPr>
        <w:t>Conditions financières</w:t>
      </w:r>
      <w:bookmarkEnd w:id="35"/>
    </w:p>
    <w:p w14:paraId="6A60445E" w14:textId="77777777" w:rsidR="00472CFA" w:rsidRDefault="0043790E">
      <w:pPr>
        <w:jc w:val="both"/>
        <w:rPr>
          <w:rFonts w:ascii="Calibri" w:eastAsia="MS Mincho" w:hAnsi="Calibri" w:cs="Arial"/>
        </w:rPr>
      </w:pPr>
      <w:r>
        <w:rPr>
          <w:rFonts w:ascii="Calibri" w:eastAsia="MS Mincho" w:hAnsi="Calibri" w:cs="Arial"/>
        </w:rPr>
        <w:t>La présente clause établit les conditions financières applicables à l’exécution de l’accord-cadre de maîtrise d’œuvre, conformément aux dispositions du Code de la commande publique et aux stipulations du CCAP. Les conditions financières incluent la forme des prix, les modalités de paiement, et les règles de révision des prix.</w:t>
      </w:r>
    </w:p>
    <w:p w14:paraId="0A2BCB7A" w14:textId="77777777" w:rsidR="00472CFA" w:rsidRDefault="0043790E">
      <w:pPr>
        <w:jc w:val="both"/>
        <w:rPr>
          <w:rFonts w:ascii="Calibri" w:eastAsia="MS Mincho" w:hAnsi="Calibri" w:cs="Arial"/>
        </w:rPr>
      </w:pPr>
      <w:r>
        <w:rPr>
          <w:rFonts w:ascii="Calibri" w:eastAsia="MS Mincho" w:hAnsi="Calibri" w:cs="Arial"/>
        </w:rPr>
        <w:t>Les prestations réalisées dans le cadre de l’accord-cadre sont rémunérées sur la base des prix unitaires définis dans le Bordereau des Prix Unitaires (BPU) annexé au marché. Les montants des bons de commande sont calculés en fonction des quantités réellement exécutées et des prix unitaires applicables. Les prix sont exprimés en euros hors taxes (HT) et toutes taxes comprises (TTC).</w:t>
      </w:r>
    </w:p>
    <w:p w14:paraId="4D29CE6D" w14:textId="77777777" w:rsidR="00472CFA" w:rsidRDefault="0043790E">
      <w:pPr>
        <w:jc w:val="both"/>
        <w:rPr>
          <w:rFonts w:ascii="Calibri" w:eastAsia="MS Mincho" w:hAnsi="Calibri" w:cs="Arial"/>
        </w:rPr>
      </w:pPr>
      <w:r>
        <w:rPr>
          <w:rFonts w:ascii="Calibri" w:eastAsia="MS Mincho" w:hAnsi="Calibri" w:cs="Arial"/>
        </w:rPr>
        <w:t>Les frais liés à l’exécution des prestations, notamment les frais de déplacement, de matériel, et de sous-traitance, sont inclus dans les prix unitaires. Le titulaire est tenu de garantir la traçabilité des opérations financières, en conservant les justificatifs de facturation et de paiement pendant une durée minimale de cinq ans.</w:t>
      </w:r>
    </w:p>
    <w:p w14:paraId="57E113E6" w14:textId="77777777" w:rsidR="00472CFA" w:rsidRDefault="0043790E">
      <w:pPr>
        <w:jc w:val="both"/>
        <w:rPr>
          <w:rFonts w:ascii="Calibri" w:eastAsia="MS Mincho" w:hAnsi="Calibri" w:cs="Arial"/>
        </w:rPr>
      </w:pPr>
      <w:r>
        <w:rPr>
          <w:rFonts w:ascii="Calibri" w:eastAsia="MS Mincho" w:hAnsi="Calibri" w:cs="Arial"/>
        </w:rPr>
        <w:t>La facturation des prestations s’effectue exclusivement par voie électronique, via la plateforme Chorus Pro, conformément aux dispositions de l’article L.2192-5 du Code de la commande publique. Les factures doivent inclure les informations suivantes : numéro du bon de commande, description des prestations réalisées, montants HT et TTC, et coordonnées bancaires du titulaire. Toute facture non conforme peut être rejetée par le maître d’ouvrage, avec notification des motifs de rejet.</w:t>
      </w:r>
    </w:p>
    <w:p w14:paraId="70C53266" w14:textId="77777777" w:rsidR="00472CFA" w:rsidRDefault="0043790E">
      <w:pPr>
        <w:jc w:val="both"/>
        <w:rPr>
          <w:rFonts w:ascii="Calibri" w:eastAsia="MS Mincho" w:hAnsi="Calibri" w:cs="Arial"/>
        </w:rPr>
      </w:pPr>
      <w:r>
        <w:rPr>
          <w:rFonts w:ascii="Calibri" w:eastAsia="MS Mincho" w:hAnsi="Calibri" w:cs="Arial"/>
        </w:rPr>
        <w:t>Le délai de paiement des factures est fixé à trente jours à compter de leur réception par le maître d’ouvrage. En cas de retard de paiement, des intérêts moratoires sont appliqués, conformément aux dispositions de l’article R.2192-31 du Code de la commande publique. Le titulaire est tenu de signaler tout retard de paiement au maître d’ouvrage, accompagné d’une demande de régularisation.</w:t>
      </w:r>
    </w:p>
    <w:p w14:paraId="582B56B5"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36" w:name="_Toc217035186"/>
      <w:r>
        <w:rPr>
          <w:rFonts w:ascii="Calibri" w:eastAsia="Cambria" w:hAnsi="Calibri" w:cs="Arial (Corps CS)"/>
          <w:b/>
          <w:smallCaps/>
          <w:color w:val="000000"/>
          <w:sz w:val="24"/>
          <w:szCs w:val="24"/>
        </w:rPr>
        <w:t>Forme des prix</w:t>
      </w:r>
      <w:bookmarkEnd w:id="36"/>
    </w:p>
    <w:p w14:paraId="11AA4E13" w14:textId="77777777" w:rsidR="00472CFA" w:rsidRDefault="0043790E">
      <w:pPr>
        <w:jc w:val="both"/>
        <w:rPr>
          <w:rFonts w:ascii="Calibri" w:eastAsia="MS Mincho" w:hAnsi="Calibri" w:cs="Arial"/>
        </w:rPr>
      </w:pPr>
      <w:r>
        <w:rPr>
          <w:rFonts w:ascii="Calibri" w:eastAsia="MS Mincho" w:hAnsi="Calibri" w:cs="Arial"/>
        </w:rPr>
        <w:t xml:space="preserve">La présente clause définit la forme des prix applicables aux prestations de maîtrise d’œuvre réalisées dans le cadre de l’accord-cadre, conformément aux dispositions du Code de la commande publique et aux stipulations du CCAP. </w:t>
      </w:r>
      <w:r>
        <w:rPr>
          <w:rFonts w:ascii="Calibri" w:eastAsia="MS Mincho" w:hAnsi="Calibri" w:cs="Arial"/>
        </w:rPr>
        <w:lastRenderedPageBreak/>
        <w:t>Les prix sont établis selon plusieurs modalités, en fonction des phases de mission et des prestations complémentaires.</w:t>
      </w:r>
    </w:p>
    <w:p w14:paraId="4D81ED18" w14:textId="77777777" w:rsidR="00472CFA" w:rsidRDefault="0043790E">
      <w:pPr>
        <w:jc w:val="both"/>
        <w:rPr>
          <w:rFonts w:ascii="Calibri" w:eastAsia="MS Mincho" w:hAnsi="Calibri" w:cs="Arial"/>
        </w:rPr>
      </w:pPr>
      <w:r>
        <w:rPr>
          <w:rFonts w:ascii="Calibri" w:eastAsia="MS Mincho" w:hAnsi="Calibri" w:cs="Arial"/>
        </w:rPr>
        <w:t>Les prix des prestations sont principalement forfaitaires pour les phases de mission de base, incluant les études préalables, les phases de conception, et l’assistance aux opérations de réception. Ces prix forfaitaires sont calculés sur la base des montants estimés des travaux et des taux de rémunération définis dans le Bordereau des Prix Unitaires (BPU).</w:t>
      </w:r>
    </w:p>
    <w:p w14:paraId="0C71826C" w14:textId="77777777" w:rsidR="00472CFA" w:rsidRDefault="0043790E">
      <w:pPr>
        <w:jc w:val="both"/>
        <w:rPr>
          <w:rFonts w:ascii="Calibri" w:eastAsia="MS Mincho" w:hAnsi="Calibri" w:cs="Arial"/>
        </w:rPr>
      </w:pPr>
      <w:r>
        <w:rPr>
          <w:rFonts w:ascii="Calibri" w:eastAsia="MS Mincho" w:hAnsi="Calibri" w:cs="Arial"/>
        </w:rPr>
        <w:t>À partir de l’Avant-Projet Sommaire (APS), les prix peuvent être proportionnels à la valeur des travaux, selon un pourcentage fixé dans les documents contractuels. Ce pourcentage est appliqué aux montants des travaux estimés, afin de garantir une rémunération équitable et adaptée à l’ampleur des prestations.</w:t>
      </w:r>
    </w:p>
    <w:p w14:paraId="79A50E65" w14:textId="77777777" w:rsidR="00472CFA" w:rsidRDefault="0043790E">
      <w:pPr>
        <w:jc w:val="both"/>
        <w:rPr>
          <w:rFonts w:ascii="Calibri" w:eastAsia="MS Mincho" w:hAnsi="Calibri" w:cs="Arial"/>
        </w:rPr>
      </w:pPr>
      <w:r>
        <w:rPr>
          <w:rFonts w:ascii="Calibri" w:eastAsia="MS Mincho" w:hAnsi="Calibri" w:cs="Arial"/>
        </w:rPr>
        <w:t>Les prestations complémentaires, telles que les missions spécifiques ou les adaptations nécessaires en cours d’exécution, sont rémunérées sur la base de taux horaires définis dans le BPU. Ces taux horaires incluent les frais de personnel, de matériel, et de déplacement, et sont ajustés en fonction des besoins exprimés par le maître d’ouvrage.</w:t>
      </w:r>
    </w:p>
    <w:p w14:paraId="4C263C7D" w14:textId="77777777" w:rsidR="00472CFA" w:rsidRDefault="0043790E">
      <w:pPr>
        <w:jc w:val="both"/>
        <w:rPr>
          <w:rFonts w:ascii="Calibri" w:eastAsia="MS Mincho" w:hAnsi="Calibri" w:cs="Arial"/>
        </w:rPr>
      </w:pPr>
      <w:r>
        <w:rPr>
          <w:rFonts w:ascii="Calibri" w:eastAsia="MS Mincho" w:hAnsi="Calibri" w:cs="Arial"/>
        </w:rPr>
        <w:t>Les prix sont fermes et non révisables pendant la première année d’exécution de l’accord-cadre. À partir de la deuxième année, les prix peuvent être révisés annuellement, en fonction de l’évolution des indices économiques et des paramètres définis dans le CCAP. La révision des prix est calculée sur la base de la formule de révision spécifiée dans les documents contractuels, prenant en compte les variations des indices officiels publiés par l’INSEE.</w:t>
      </w:r>
    </w:p>
    <w:p w14:paraId="71EB74BA" w14:textId="77777777" w:rsidR="00472CFA" w:rsidRDefault="0043790E">
      <w:pPr>
        <w:jc w:val="both"/>
        <w:rPr>
          <w:rFonts w:ascii="Calibri" w:eastAsia="MS Mincho" w:hAnsi="Calibri" w:cs="Arial"/>
        </w:rPr>
      </w:pPr>
      <w:r>
        <w:rPr>
          <w:rFonts w:ascii="Calibri" w:eastAsia="MS Mincho" w:hAnsi="Calibri" w:cs="Arial"/>
        </w:rPr>
        <w:t>Enfin, le titulaire est tenu de garantir la transparence et la traçabilité des opérations de fixation et de révision des prix, en fournissant des rapports détaillés sur les calculs effectués et les indices utilisés. Ces rapports doivent être accessibles au maître d’ouvrage sur demande.</w:t>
      </w:r>
    </w:p>
    <w:p w14:paraId="70EA044B"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37" w:name="_Toc217035187"/>
      <w:r>
        <w:rPr>
          <w:rFonts w:ascii="Calibri" w:eastAsia="Cambria" w:hAnsi="Calibri" w:cs="Arial (Corps CS)"/>
          <w:b/>
          <w:smallCaps/>
          <w:color w:val="000000"/>
          <w:sz w:val="24"/>
          <w:szCs w:val="24"/>
        </w:rPr>
        <w:t>Frais</w:t>
      </w:r>
      <w:bookmarkEnd w:id="37"/>
    </w:p>
    <w:p w14:paraId="5CB3B3D8" w14:textId="77777777" w:rsidR="00472CFA" w:rsidRDefault="0043790E">
      <w:pPr>
        <w:jc w:val="both"/>
        <w:rPr>
          <w:rFonts w:ascii="Calibri" w:eastAsia="MS Mincho" w:hAnsi="Calibri" w:cs="Arial"/>
        </w:rPr>
      </w:pPr>
      <w:r>
        <w:rPr>
          <w:rFonts w:ascii="Calibri" w:eastAsia="MS Mincho" w:hAnsi="Calibri" w:cs="Arial"/>
        </w:rPr>
        <w:t>La présente clause définit les modalités de prise en charge des frais dans le cadre de l’exécution des prestations de maîtrise d’œuvre prévues par l’accord-cadre. Les frais liés à l’exécution des missions, notamment les frais de déplacement, de restauration, d’hébergement, ainsi que les frais de matériel et de consommables nécessaires à la réalisation des prestations, sont inclus dans les prix proposés par les candidats dans leur offre financière.</w:t>
      </w:r>
    </w:p>
    <w:p w14:paraId="75075662" w14:textId="77777777" w:rsidR="00472CFA" w:rsidRDefault="0043790E">
      <w:pPr>
        <w:jc w:val="both"/>
        <w:rPr>
          <w:rFonts w:ascii="Calibri" w:eastAsia="MS Mincho" w:hAnsi="Calibri" w:cs="Arial"/>
        </w:rPr>
      </w:pPr>
      <w:r>
        <w:rPr>
          <w:rFonts w:ascii="Calibri" w:eastAsia="MS Mincho" w:hAnsi="Calibri" w:cs="Arial"/>
        </w:rPr>
        <w:t>Les candidats doivent intégrer ces frais dans le Bordereau des Prix Unitaires (BPU) et le Détail Quantitatif Estimatif (DQE) remis pour chaque lot. Aucun remboursement ou indemnisation supplémentaire ne sera accordé par le maître d’ouvrage pour ces frais, sauf disposition contraire expressément prévue dans le Cahier des Clauses Administratives Particulières (CCAP).</w:t>
      </w:r>
    </w:p>
    <w:p w14:paraId="3589E38A" w14:textId="77777777" w:rsidR="00472CFA" w:rsidRDefault="0043790E">
      <w:pPr>
        <w:jc w:val="both"/>
        <w:rPr>
          <w:rFonts w:ascii="Calibri" w:eastAsia="MS Mincho" w:hAnsi="Calibri" w:cs="Arial"/>
        </w:rPr>
      </w:pPr>
      <w:r>
        <w:rPr>
          <w:rFonts w:ascii="Calibri" w:eastAsia="MS Mincho" w:hAnsi="Calibri" w:cs="Arial"/>
        </w:rPr>
        <w:t>En cas de prestations complémentaires ou imprévues nécessitant des frais supplémentaires, le titulaire devra obtenir l’accord préalable et écrit du maître d’ouvrage avant d’engager les dépenses. Ces frais devront être justifiés par des pièces comptables et des justificatifs détaillés, et feront l’objet d’un avenant au marché ou d’un ordre de service spécifique.</w:t>
      </w:r>
    </w:p>
    <w:p w14:paraId="05EAFB61" w14:textId="77777777" w:rsidR="00472CFA" w:rsidRDefault="0043790E">
      <w:pPr>
        <w:jc w:val="both"/>
        <w:rPr>
          <w:rFonts w:ascii="Calibri" w:eastAsia="MS Mincho" w:hAnsi="Calibri" w:cs="Arial"/>
        </w:rPr>
      </w:pPr>
      <w:r>
        <w:rPr>
          <w:rFonts w:ascii="Calibri" w:eastAsia="MS Mincho" w:hAnsi="Calibri" w:cs="Arial"/>
        </w:rPr>
        <w:lastRenderedPageBreak/>
        <w:t>Le titulaire est tenu de garantir la traçabilité des frais engagés dans le cadre de l’exécution des prestations. À cet effet, il devra conserver les justificatifs des dépenses pendant une durée minimale de cinq (5) ans à compter de la fin de l’accord-cadre. Ces justificatifs devront être accessibles au maître d’ouvrage sur demande, notamment en cas de contrôle ou d’audit.</w:t>
      </w:r>
    </w:p>
    <w:p w14:paraId="22BA6E57" w14:textId="77777777" w:rsidR="00472CFA" w:rsidRDefault="0043790E">
      <w:pPr>
        <w:numPr>
          <w:ilvl w:val="0"/>
          <w:numId w:val="1"/>
        </w:numPr>
        <w:shd w:val="clear" w:color="auto" w:fill="BFBFBF"/>
        <w:spacing w:before="240" w:after="160" w:line="247" w:lineRule="auto"/>
        <w:rPr>
          <w:rFonts w:ascii="Calibri" w:eastAsia="Cambria" w:hAnsi="Calibri" w:cs="Arial (Corps CS)"/>
          <w:b/>
          <w:bCs/>
          <w:caps/>
          <w:color w:val="000000"/>
          <w:sz w:val="24"/>
          <w:szCs w:val="24"/>
        </w:rPr>
      </w:pPr>
      <w:bookmarkStart w:id="38" w:name="_Toc217035188"/>
      <w:r>
        <w:rPr>
          <w:rFonts w:ascii="Calibri" w:eastAsia="Cambria" w:hAnsi="Calibri" w:cs="Arial (Corps CS)"/>
          <w:b/>
          <w:bCs/>
          <w:caps/>
          <w:color w:val="000000"/>
          <w:sz w:val="24"/>
          <w:szCs w:val="24"/>
        </w:rPr>
        <w:t>Renseignements complémentaires</w:t>
      </w:r>
      <w:bookmarkEnd w:id="38"/>
    </w:p>
    <w:p w14:paraId="6527B8A0" w14:textId="77777777" w:rsidR="00472CFA" w:rsidRDefault="0043790E">
      <w:pPr>
        <w:jc w:val="both"/>
        <w:rPr>
          <w:rFonts w:ascii="Calibri" w:eastAsia="MS Mincho" w:hAnsi="Calibri" w:cs="Arial"/>
        </w:rPr>
      </w:pPr>
      <w:r>
        <w:rPr>
          <w:rFonts w:ascii="Calibri" w:eastAsia="MS Mincho" w:hAnsi="Calibri" w:cs="Arial"/>
        </w:rPr>
        <w:t>La présente clause établit les modalités de demande et de communication des renseignements complémentaires relatifs à la consultation. Les candidats peuvent solliciter des informations supplémentaires concernant le Dossier de Consultation des Entreprises (DCE), les conditions de participation, ou tout autre aspect du marché, dans les conditions définies ci-après.</w:t>
      </w:r>
    </w:p>
    <w:p w14:paraId="3FE2B4BB" w14:textId="77777777" w:rsidR="00472CFA" w:rsidRDefault="0043790E">
      <w:pPr>
        <w:jc w:val="both"/>
        <w:rPr>
          <w:rFonts w:ascii="Calibri" w:eastAsia="MS Mincho" w:hAnsi="Calibri" w:cs="Arial"/>
        </w:rPr>
      </w:pPr>
      <w:r>
        <w:rPr>
          <w:rFonts w:ascii="Calibri" w:eastAsia="MS Mincho" w:hAnsi="Calibri" w:cs="Arial"/>
        </w:rPr>
        <w:t>Les demandes de renseignements doivent être formulées exclusivement par voie électronique, via la plateforme de dématérialisation utilisée pour la consultation. Les candidats doivent respecter les délais impartis pour la transmission de leurs questions, tels que précisés dans l’avis d’appel public à la concurrence et le règlement de la consultation.</w:t>
      </w:r>
    </w:p>
    <w:p w14:paraId="773C4545" w14:textId="77777777" w:rsidR="00472CFA" w:rsidRDefault="0043790E">
      <w:pPr>
        <w:jc w:val="both"/>
        <w:rPr>
          <w:rFonts w:ascii="Calibri" w:eastAsia="MS Mincho" w:hAnsi="Calibri" w:cs="Arial"/>
        </w:rPr>
      </w:pPr>
      <w:r>
        <w:rPr>
          <w:rFonts w:ascii="Calibri" w:eastAsia="MS Mincho" w:hAnsi="Calibri" w:cs="Arial"/>
        </w:rPr>
        <w:t>Le maître d’ouvrage s’engage à répondre aux demandes de renseignements dans les meilleurs délais, et au plus tard à la date limite indiquée dans le règlement de la consultation. Les réponses seront communiquées à l’ensemble des candidats via la plateforme de dématérialisation, afin de garantir l’égalité de traitement et la transparence de la procédure.</w:t>
      </w:r>
    </w:p>
    <w:p w14:paraId="5E3A5203" w14:textId="77777777" w:rsidR="00472CFA" w:rsidRDefault="0043790E">
      <w:pPr>
        <w:jc w:val="both"/>
        <w:rPr>
          <w:rFonts w:ascii="Calibri" w:eastAsia="MS Mincho" w:hAnsi="Calibri" w:cs="Arial"/>
        </w:rPr>
      </w:pPr>
      <w:r>
        <w:rPr>
          <w:rFonts w:ascii="Calibri" w:eastAsia="MS Mincho" w:hAnsi="Calibri" w:cs="Arial"/>
        </w:rPr>
        <w:t>En cas de difficulté technique liée à la plateforme de dématérialisation, les candidats sont invités à signaler le problème au maître d’ouvrage dans les plus brefs délais, en utilisant les coordonnées fournies dans le règlement de la consultation. Toute demande de renseignement formulée hors des délais ou par un autre canal que celui prévu ne sera pas prise en compte.</w:t>
      </w:r>
    </w:p>
    <w:p w14:paraId="7E69374B"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39" w:name="_Toc217035189"/>
      <w:r>
        <w:rPr>
          <w:rFonts w:ascii="Calibri" w:eastAsia="Cambria" w:hAnsi="Calibri" w:cs="Arial (Corps CS)"/>
          <w:b/>
          <w:smallCaps/>
          <w:color w:val="000000"/>
          <w:sz w:val="24"/>
          <w:szCs w:val="24"/>
        </w:rPr>
        <w:t>Demandes de renseignements</w:t>
      </w:r>
      <w:bookmarkEnd w:id="39"/>
    </w:p>
    <w:p w14:paraId="257B4244" w14:textId="77777777" w:rsidR="00472CFA" w:rsidRDefault="0043790E">
      <w:pPr>
        <w:jc w:val="both"/>
        <w:rPr>
          <w:rFonts w:ascii="Calibri" w:eastAsia="MS Mincho" w:hAnsi="Calibri" w:cs="Arial"/>
        </w:rPr>
      </w:pPr>
      <w:r>
        <w:rPr>
          <w:rFonts w:ascii="Calibri" w:eastAsia="MS Mincho" w:hAnsi="Calibri" w:cs="Arial"/>
        </w:rPr>
        <w:t>Les candidats peuvent adresser leurs demandes de renseignements complémentaires concernant le Dossier de Consultation des Entreprises (DCE) ou les modalités de la consultation exclusivement par voie électronique, via la plateforme de dématérialisation dédiée à la procédure. Ces demandes doivent être formulées dans le respect des délais impartis, tels qu’indiqués dans l’avis d’appel public à la concurrence et le règlement de la consultation.</w:t>
      </w:r>
    </w:p>
    <w:p w14:paraId="04A9F4A9" w14:textId="77777777" w:rsidR="00472CFA" w:rsidRDefault="0043790E">
      <w:pPr>
        <w:jc w:val="both"/>
        <w:rPr>
          <w:rFonts w:ascii="Calibri" w:eastAsia="MS Mincho" w:hAnsi="Calibri" w:cs="Arial"/>
        </w:rPr>
      </w:pPr>
      <w:r>
        <w:rPr>
          <w:rFonts w:ascii="Calibri" w:eastAsia="MS Mincho" w:hAnsi="Calibri" w:cs="Arial"/>
        </w:rPr>
        <w:t>Les demandes doivent être claires, précises, et porter uniquement sur des points relatifs au contenu du DCE ou aux conditions de participation. Toute demande de renseignement formulée hors des délais ou par un autre canal que celui prévu ne sera pas prise en compte.</w:t>
      </w:r>
    </w:p>
    <w:p w14:paraId="071BB597" w14:textId="26771A27" w:rsidR="00472CFA" w:rsidRDefault="0043790E">
      <w:pPr>
        <w:jc w:val="both"/>
        <w:rPr>
          <w:rFonts w:ascii="Calibri" w:eastAsia="MS Mincho" w:hAnsi="Calibri" w:cs="Arial"/>
        </w:rPr>
      </w:pPr>
      <w:r>
        <w:rPr>
          <w:rFonts w:ascii="Calibri" w:eastAsia="MS Mincho" w:hAnsi="Calibri" w:cs="Arial"/>
        </w:rPr>
        <w:t xml:space="preserve">Le maître d’ouvrage s’engage à répondre aux demandes de renseignements dans les meilleurs délais, et au plus tard </w:t>
      </w:r>
      <w:r w:rsidR="0064019B">
        <w:rPr>
          <w:rFonts w:ascii="Calibri" w:eastAsia="MS Mincho" w:hAnsi="Calibri" w:cs="Arial"/>
        </w:rPr>
        <w:t>48h avant la d</w:t>
      </w:r>
      <w:r>
        <w:rPr>
          <w:rFonts w:ascii="Calibri" w:eastAsia="MS Mincho" w:hAnsi="Calibri" w:cs="Arial"/>
        </w:rPr>
        <w:t>ate limite indiquée dans le règlement de la consultation. Les réponses seront communiquées à l’ensemble des candidats via la plateforme de dématérialisation, afin de garantir l’égalité de traitement et la transparence de la procédure.</w:t>
      </w:r>
      <w:r w:rsidR="0064019B">
        <w:rPr>
          <w:rFonts w:ascii="Calibri" w:eastAsia="MS Mincho" w:hAnsi="Calibri" w:cs="Arial"/>
        </w:rPr>
        <w:t xml:space="preserve"> Les demandes de renseignements doivent être formulées au plus tard 72h avant la date et l’heure limites indiquées dans le règlement de consultation ; passé cette date, le pouvoir adjudicateur ne garanti pas pouvoir répondre à cette dernière.</w:t>
      </w:r>
    </w:p>
    <w:p w14:paraId="4D120C31" w14:textId="0274ABB1" w:rsidR="00472CFA" w:rsidRDefault="0043790E">
      <w:pPr>
        <w:jc w:val="both"/>
        <w:rPr>
          <w:rFonts w:ascii="Calibri" w:eastAsia="MS Mincho" w:hAnsi="Calibri" w:cs="Arial"/>
        </w:rPr>
      </w:pPr>
      <w:r>
        <w:rPr>
          <w:rFonts w:ascii="Calibri" w:eastAsia="MS Mincho" w:hAnsi="Calibri" w:cs="Arial"/>
        </w:rPr>
        <w:lastRenderedPageBreak/>
        <w:t>En cas de difficulté technique liée à la plateforme de dématérialisation, les candidats sont invités à signaler le problème au maître d’ouvrage dans les plus brefs délais. Les candidats sont également tenus de vérifier régulièrement la plateforme pour prendre connaissance des réponses et des éventuelles modifications apportées au DCE.</w:t>
      </w:r>
    </w:p>
    <w:p w14:paraId="486A7F54"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40" w:name="_Toc217035190"/>
      <w:r>
        <w:rPr>
          <w:rFonts w:ascii="Calibri" w:eastAsia="Cambria" w:hAnsi="Calibri" w:cs="Arial (Corps CS)"/>
          <w:b/>
          <w:smallCaps/>
          <w:color w:val="000000"/>
          <w:sz w:val="24"/>
          <w:szCs w:val="24"/>
        </w:rPr>
        <w:t>Modifications du DCE</w:t>
      </w:r>
      <w:bookmarkEnd w:id="40"/>
    </w:p>
    <w:p w14:paraId="38A396F4" w14:textId="77777777" w:rsidR="00472CFA" w:rsidRDefault="0043790E">
      <w:pPr>
        <w:jc w:val="both"/>
        <w:rPr>
          <w:rFonts w:ascii="Calibri" w:eastAsia="MS Mincho" w:hAnsi="Calibri" w:cs="Arial"/>
        </w:rPr>
      </w:pPr>
      <w:r>
        <w:rPr>
          <w:rFonts w:ascii="Calibri" w:eastAsia="MS Mincho" w:hAnsi="Calibri" w:cs="Arial"/>
        </w:rPr>
        <w:t>La présente clause définit les modalités de modification du Dossier de Consultation des Entreprises (DCE) par le maître d’ouvrage. En cas de nécessité, le maître d’ouvrage se réserve le droit de modifier ou de compléter le DCE avant la date limite de remise des offres, afin de garantir la conformité de la consultation aux exigences réglementaires ou de répondre à des besoins spécifiques identifiés.</w:t>
      </w:r>
    </w:p>
    <w:p w14:paraId="76E2D585" w14:textId="77777777" w:rsidR="00472CFA" w:rsidRDefault="0043790E">
      <w:pPr>
        <w:jc w:val="both"/>
        <w:rPr>
          <w:rFonts w:ascii="Calibri" w:eastAsia="MS Mincho" w:hAnsi="Calibri" w:cs="Arial"/>
        </w:rPr>
      </w:pPr>
      <w:r>
        <w:rPr>
          <w:rFonts w:ascii="Calibri" w:eastAsia="MS Mincho" w:hAnsi="Calibri" w:cs="Arial"/>
        </w:rPr>
        <w:t>Les modifications du DCE peuvent porter sur tout ou partie des documents constitutifs, notamment le règlement de la consultation, le Cahier des Clauses Administratives Particulières (CCAP), le Cahier des Clauses Techniques Particulières (CCTP), ou les pièces financières. Ces modifications seront communiquées à l’ensemble des candidats via la plateforme de dématérialisation utilisée pour la consultation.</w:t>
      </w:r>
    </w:p>
    <w:p w14:paraId="77264912" w14:textId="77777777" w:rsidR="00472CFA" w:rsidRDefault="0043790E">
      <w:pPr>
        <w:jc w:val="both"/>
        <w:rPr>
          <w:rFonts w:ascii="Calibri" w:eastAsia="MS Mincho" w:hAnsi="Calibri" w:cs="Arial"/>
        </w:rPr>
      </w:pPr>
      <w:r>
        <w:rPr>
          <w:rFonts w:ascii="Calibri" w:eastAsia="MS Mincho" w:hAnsi="Calibri" w:cs="Arial"/>
        </w:rPr>
        <w:t>Les candidats sont tenus de prendre connaissance des modifications apportées au DCE et de les intégrer dans leur offre. En cas de modification substantielle, le maître d’ouvrage pourra décider de prolonger le délai de remise des offres, afin de permettre aux candidats d’adapter leur proposition. Cette prolongation sera notifiée à l’ensemble des candidats via la plateforme de dématérialisation.</w:t>
      </w:r>
    </w:p>
    <w:p w14:paraId="12CE3E30" w14:textId="77777777" w:rsidR="00472CFA" w:rsidRDefault="0043790E">
      <w:pPr>
        <w:jc w:val="both"/>
        <w:rPr>
          <w:rFonts w:ascii="Calibri" w:eastAsia="MS Mincho" w:hAnsi="Calibri" w:cs="Arial"/>
        </w:rPr>
      </w:pPr>
      <w:r>
        <w:rPr>
          <w:rFonts w:ascii="Calibri" w:eastAsia="MS Mincho" w:hAnsi="Calibri" w:cs="Arial"/>
        </w:rPr>
        <w:t>Toute modification du DCE sera accompagnée d’un avis explicatif précisant les motifs de la modification, les documents concernés, et les éventuelles conséquences sur la procédure. Les candidats sont invités à vérifier régulièrement la plateforme de dématérialisation pour prendre connaissance des modifications et des réponses aux questions posées.</w:t>
      </w:r>
    </w:p>
    <w:p w14:paraId="0D347AA7" w14:textId="77777777" w:rsidR="00472CFA" w:rsidRDefault="0043790E">
      <w:pPr>
        <w:numPr>
          <w:ilvl w:val="0"/>
          <w:numId w:val="1"/>
        </w:numPr>
        <w:shd w:val="clear" w:color="auto" w:fill="BFBFBF"/>
        <w:spacing w:before="240" w:after="160" w:line="247" w:lineRule="auto"/>
        <w:rPr>
          <w:rFonts w:ascii="Calibri" w:eastAsia="Cambria" w:hAnsi="Calibri" w:cs="Arial (Corps CS)"/>
          <w:b/>
          <w:bCs/>
          <w:caps/>
          <w:color w:val="000000"/>
          <w:sz w:val="24"/>
          <w:szCs w:val="24"/>
        </w:rPr>
      </w:pPr>
      <w:bookmarkStart w:id="41" w:name="_Toc217035191"/>
      <w:r>
        <w:rPr>
          <w:rFonts w:ascii="Calibri" w:eastAsia="Cambria" w:hAnsi="Calibri" w:cs="Arial (Corps CS)"/>
          <w:b/>
          <w:bCs/>
          <w:caps/>
          <w:color w:val="000000"/>
          <w:sz w:val="24"/>
          <w:szCs w:val="24"/>
        </w:rPr>
        <w:t>Visite des sites</w:t>
      </w:r>
      <w:bookmarkEnd w:id="41"/>
    </w:p>
    <w:p w14:paraId="0E55A9FE" w14:textId="10211305" w:rsidR="00472CFA" w:rsidRPr="003E55F2" w:rsidRDefault="003E55F2" w:rsidP="003E55F2">
      <w:pPr>
        <w:jc w:val="both"/>
        <w:rPr>
          <w:rFonts w:ascii="Calibri" w:eastAsia="MS Mincho" w:hAnsi="Calibri" w:cs="Arial"/>
        </w:rPr>
      </w:pPr>
      <w:r>
        <w:rPr>
          <w:rFonts w:ascii="Calibri" w:eastAsia="MS Mincho" w:hAnsi="Calibri" w:cs="Arial"/>
        </w:rPr>
        <w:t xml:space="preserve">Les visites de site seront proposées en fonction des projets, lors de la remise en concurrence des titulaires. </w:t>
      </w:r>
    </w:p>
    <w:p w14:paraId="07673989" w14:textId="77777777" w:rsidR="00472CFA" w:rsidRDefault="0043790E">
      <w:pPr>
        <w:numPr>
          <w:ilvl w:val="0"/>
          <w:numId w:val="1"/>
        </w:numPr>
        <w:shd w:val="clear" w:color="auto" w:fill="BFBFBF"/>
        <w:spacing w:before="240" w:after="160" w:line="247" w:lineRule="auto"/>
        <w:rPr>
          <w:rFonts w:ascii="Calibri" w:eastAsia="Cambria" w:hAnsi="Calibri" w:cs="Arial (Corps CS)"/>
          <w:b/>
          <w:bCs/>
          <w:caps/>
          <w:color w:val="000000"/>
          <w:sz w:val="24"/>
          <w:szCs w:val="24"/>
        </w:rPr>
      </w:pPr>
      <w:bookmarkStart w:id="42" w:name="_Toc217035192"/>
      <w:r>
        <w:rPr>
          <w:rFonts w:ascii="Calibri" w:eastAsia="Cambria" w:hAnsi="Calibri" w:cs="Arial (Corps CS)"/>
          <w:b/>
          <w:bCs/>
          <w:caps/>
          <w:color w:val="000000"/>
          <w:sz w:val="24"/>
          <w:szCs w:val="24"/>
        </w:rPr>
        <w:t>Dispositions diverses</w:t>
      </w:r>
      <w:bookmarkEnd w:id="42"/>
    </w:p>
    <w:p w14:paraId="1E170275" w14:textId="77777777" w:rsidR="00472CFA" w:rsidRDefault="0043790E">
      <w:pPr>
        <w:jc w:val="both"/>
        <w:rPr>
          <w:rFonts w:ascii="Calibri" w:eastAsia="MS Mincho" w:hAnsi="Calibri" w:cs="Arial"/>
        </w:rPr>
      </w:pPr>
      <w:r>
        <w:rPr>
          <w:rFonts w:ascii="Calibri" w:eastAsia="MS Mincho" w:hAnsi="Calibri" w:cs="Arial"/>
        </w:rPr>
        <w:t>La présente clause regroupe les dispositions générales applicables à la consultation et à l’exécution de l’accord-cadre de maîtrise d’œuvre, en complément des articles précédents du règlement de la consultation. Ces dispositions visent à garantir la sécurité juridique et la bonne exécution des prestations dans le respect des exigences du Code de la commande publique et des documents contractuels.</w:t>
      </w:r>
    </w:p>
    <w:p w14:paraId="73C5F321" w14:textId="77777777" w:rsidR="00472CFA" w:rsidRDefault="0043790E">
      <w:pPr>
        <w:jc w:val="both"/>
        <w:rPr>
          <w:rFonts w:ascii="Calibri" w:eastAsia="MS Mincho" w:hAnsi="Calibri" w:cs="Arial"/>
        </w:rPr>
      </w:pPr>
      <w:r>
        <w:rPr>
          <w:rFonts w:ascii="Calibri" w:eastAsia="MS Mincho" w:hAnsi="Calibri" w:cs="Arial"/>
        </w:rPr>
        <w:t>Les candidats sont informés que toute communication relative à la consultation doit être effectuée exclusivement par voie électronique via la plateforme de dématérialisation désignée dans le dossier de consultation des entreprises (DCE). Les échanges doivent respecter les formats et standards définis dans le règlement de consultation, notamment en matière de signature électronique et de transmission des documents.</w:t>
      </w:r>
    </w:p>
    <w:p w14:paraId="0C0D34C6" w14:textId="77777777" w:rsidR="00472CFA" w:rsidRDefault="0043790E">
      <w:pPr>
        <w:jc w:val="both"/>
        <w:rPr>
          <w:rFonts w:ascii="Calibri" w:eastAsia="MS Mincho" w:hAnsi="Calibri" w:cs="Arial"/>
        </w:rPr>
      </w:pPr>
      <w:r>
        <w:rPr>
          <w:rFonts w:ascii="Calibri" w:eastAsia="MS Mincho" w:hAnsi="Calibri" w:cs="Arial"/>
        </w:rPr>
        <w:t xml:space="preserve">Les candidats sont tenus de respecter les obligations de confidentialité et de protection des données personnelles définies dans le règlement général sur la protection des données (RGPD) et les documents contractuels. Toute </w:t>
      </w:r>
      <w:r>
        <w:rPr>
          <w:rFonts w:ascii="Calibri" w:eastAsia="MS Mincho" w:hAnsi="Calibri" w:cs="Arial"/>
        </w:rPr>
        <w:lastRenderedPageBreak/>
        <w:t>violation de ces obligations pourra entraîner des sanctions, y compris l’exclusion de la procédure ou la résiliation de l’accord-cadre.</w:t>
      </w:r>
    </w:p>
    <w:p w14:paraId="71AE461A" w14:textId="77777777" w:rsidR="00472CFA" w:rsidRDefault="0043790E">
      <w:pPr>
        <w:jc w:val="both"/>
        <w:rPr>
          <w:rFonts w:ascii="Calibri" w:eastAsia="MS Mincho" w:hAnsi="Calibri" w:cs="Arial"/>
        </w:rPr>
      </w:pPr>
      <w:r>
        <w:rPr>
          <w:rFonts w:ascii="Calibri" w:eastAsia="MS Mincho" w:hAnsi="Calibri" w:cs="Arial"/>
        </w:rPr>
        <w:t>Les candidats doivent également garantir la traçabilité des échanges et des documents transmis dans le cadre de la consultation. Les justificatifs, correspondances et livrables doivent être conservés pendant une durée minimale de cinq ans à compter de la date de notification de l’accord-cadre.</w:t>
      </w:r>
    </w:p>
    <w:p w14:paraId="45C439CC" w14:textId="77777777" w:rsidR="00472CFA" w:rsidRDefault="0043790E">
      <w:pPr>
        <w:jc w:val="both"/>
        <w:rPr>
          <w:rFonts w:ascii="Calibri" w:eastAsia="MS Mincho" w:hAnsi="Calibri" w:cs="Arial"/>
        </w:rPr>
      </w:pPr>
      <w:r>
        <w:rPr>
          <w:rFonts w:ascii="Calibri" w:eastAsia="MS Mincho" w:hAnsi="Calibri" w:cs="Arial"/>
        </w:rPr>
        <w:t>Enfin, les candidats sont informés que toute difficulté ou litige relatif à l’interprétation ou à l’exécution des dispositions du règlement de la consultation sera traité conformément aux modalités définies dans la clause relative aux voies et délais de recours.</w:t>
      </w:r>
    </w:p>
    <w:p w14:paraId="13EA25BF"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43" w:name="_Toc217035193"/>
      <w:r>
        <w:rPr>
          <w:rFonts w:ascii="Calibri" w:eastAsia="Cambria" w:hAnsi="Calibri" w:cs="Arial (Corps CS)"/>
          <w:b/>
          <w:smallCaps/>
          <w:color w:val="000000"/>
          <w:sz w:val="24"/>
          <w:szCs w:val="24"/>
        </w:rPr>
        <w:t>Confidentialité</w:t>
      </w:r>
      <w:bookmarkEnd w:id="43"/>
    </w:p>
    <w:p w14:paraId="18B6D3AD" w14:textId="77777777" w:rsidR="00472CFA" w:rsidRDefault="0043790E">
      <w:pPr>
        <w:jc w:val="both"/>
        <w:rPr>
          <w:rFonts w:ascii="Calibri" w:eastAsia="MS Mincho" w:hAnsi="Calibri" w:cs="Arial"/>
        </w:rPr>
      </w:pPr>
      <w:r>
        <w:rPr>
          <w:rFonts w:ascii="Calibri" w:eastAsia="MS Mincho" w:hAnsi="Calibri" w:cs="Arial"/>
        </w:rPr>
        <w:t>Les candidats et titulaires de l’accord-cadre sont soumis à une obligation stricte de confidentialité concernant toutes les informations, données et documents transmis par l’INRAE Antilles-Guyane dans le cadre de la consultation et de l’exécution des prestations. Cette obligation s’applique pendant toute la durée de la procédure et de l’accord-cadre, et se prolonge indéfiniment après leur expiration ou leur résiliation.</w:t>
      </w:r>
    </w:p>
    <w:p w14:paraId="38E34BAC" w14:textId="77777777" w:rsidR="00472CFA" w:rsidRDefault="0043790E">
      <w:pPr>
        <w:jc w:val="both"/>
        <w:rPr>
          <w:rFonts w:ascii="Calibri" w:eastAsia="MS Mincho" w:hAnsi="Calibri" w:cs="Arial"/>
        </w:rPr>
      </w:pPr>
      <w:r>
        <w:rPr>
          <w:rFonts w:ascii="Calibri" w:eastAsia="MS Mincho" w:hAnsi="Calibri" w:cs="Arial"/>
        </w:rPr>
        <w:t>Les informations couvertes par cette obligation incluent, sans s’y limiter, les données scientifiques, techniques, financières, stratégiques et personnelles, ainsi que les résultats des études et des travaux réalisés. Les candidats et titulaires s’engagent à ne pas divulguer ces informations à des tiers, sauf autorisation préalable et écrite de l’INRAE Antilles-Guyane.</w:t>
      </w:r>
    </w:p>
    <w:p w14:paraId="02DAC554" w14:textId="77777777" w:rsidR="00472CFA" w:rsidRDefault="0043790E">
      <w:pPr>
        <w:jc w:val="both"/>
        <w:rPr>
          <w:rFonts w:ascii="Calibri" w:eastAsia="MS Mincho" w:hAnsi="Calibri" w:cs="Arial"/>
        </w:rPr>
      </w:pPr>
      <w:r>
        <w:rPr>
          <w:rFonts w:ascii="Calibri" w:eastAsia="MS Mincho" w:hAnsi="Calibri" w:cs="Arial"/>
        </w:rPr>
        <w:t>Les titulaires doivent mettre en œuvre toutes les mesures nécessaires pour garantir la sécurité et la confidentialité des données, conformément aux normes en vigueur et aux exigences définies dans le cahier des clauses techniques particulières (CCTP). Cela inclut l’utilisation de systèmes de stockage sécurisés, la limitation des accès aux données aux seuls membres de l’équipe de maîtrise d’œuvre, et la mise en place de procédures de contrôle et de traçabilité.</w:t>
      </w:r>
    </w:p>
    <w:p w14:paraId="1DD0D1B4" w14:textId="77777777" w:rsidR="00472CFA" w:rsidRDefault="0043790E">
      <w:pPr>
        <w:jc w:val="both"/>
        <w:rPr>
          <w:rFonts w:ascii="Calibri" w:eastAsia="MS Mincho" w:hAnsi="Calibri" w:cs="Arial"/>
        </w:rPr>
      </w:pPr>
      <w:r>
        <w:rPr>
          <w:rFonts w:ascii="Calibri" w:eastAsia="MS Mincho" w:hAnsi="Calibri" w:cs="Arial"/>
        </w:rPr>
        <w:t>En cas de violation de l’obligation de confidentialité, l’INRAE Antilles-Guyane se réserve le droit de résilier l’accord-cadre sans indemnité et de demander réparation des préjudices subis. Les candidats et titulaires sont également tenus de signaler immédiatement à l’INRAE Antilles-Guyane tout incident ou risque identifié concernant la confidentialité des données.</w:t>
      </w:r>
    </w:p>
    <w:p w14:paraId="6F09A3FB"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44" w:name="_Toc217035194"/>
      <w:r>
        <w:rPr>
          <w:rFonts w:ascii="Calibri" w:eastAsia="Cambria" w:hAnsi="Calibri" w:cs="Arial (Corps CS)"/>
          <w:b/>
          <w:smallCaps/>
          <w:color w:val="000000"/>
          <w:sz w:val="24"/>
          <w:szCs w:val="24"/>
        </w:rPr>
        <w:t>Propriété intellectuelle</w:t>
      </w:r>
      <w:bookmarkEnd w:id="44"/>
    </w:p>
    <w:p w14:paraId="5FE4D0DD" w14:textId="77777777" w:rsidR="00472CFA" w:rsidRDefault="0043790E">
      <w:pPr>
        <w:jc w:val="both"/>
        <w:rPr>
          <w:rFonts w:ascii="Calibri" w:eastAsia="MS Mincho" w:hAnsi="Calibri" w:cs="Arial"/>
        </w:rPr>
      </w:pPr>
      <w:r>
        <w:rPr>
          <w:rFonts w:ascii="Calibri" w:eastAsia="MS Mincho" w:hAnsi="Calibri" w:cs="Arial"/>
        </w:rPr>
        <w:t>La présente clause définit les règles applicables en matière de propriété intellectuelle des résultats produits dans le cadre de l’exécution des prestations de maîtrise d’œuvre. Conformément aux dispositions du Code de la commande publique et aux stipulations du cahier des clauses administratives générales (CCAG) Maîtrise d’œuvre 2021, tous les résultats, livrables, études, plans, maquettes numériques et autres productions intellectuelles réalisés par les titulaires dans le cadre de l’accord-cadre sont la propriété exclusive de l’INRAE Antilles-Guyane.</w:t>
      </w:r>
    </w:p>
    <w:p w14:paraId="682D91B6" w14:textId="77777777" w:rsidR="00472CFA" w:rsidRDefault="0043790E">
      <w:pPr>
        <w:jc w:val="both"/>
        <w:rPr>
          <w:rFonts w:ascii="Calibri" w:eastAsia="MS Mincho" w:hAnsi="Calibri" w:cs="Arial"/>
        </w:rPr>
      </w:pPr>
      <w:r>
        <w:rPr>
          <w:rFonts w:ascii="Calibri" w:eastAsia="MS Mincho" w:hAnsi="Calibri" w:cs="Arial"/>
        </w:rPr>
        <w:t xml:space="preserve">Les titulaires cèdent à l’INRAE Antilles-Guyane, à titre exclusif et définitif, l’ensemble des droits patrimoniaux afférents aux résultats produits, incluant notamment les droits de reproduction, de représentation, d’adaptation, </w:t>
      </w:r>
      <w:r>
        <w:rPr>
          <w:rFonts w:ascii="Calibri" w:eastAsia="MS Mincho" w:hAnsi="Calibri" w:cs="Arial"/>
        </w:rPr>
        <w:lastRenderedPageBreak/>
        <w:t>de modification, de traduction et de diffusion, pour toute exploitation, sur tout support et pour toute durée. Cette cession est incluse dans le prix du marché et ne donne lieu à aucune rémunération supplémentaire.</w:t>
      </w:r>
    </w:p>
    <w:p w14:paraId="373BF4BE" w14:textId="77777777" w:rsidR="00472CFA" w:rsidRDefault="0043790E">
      <w:pPr>
        <w:jc w:val="both"/>
        <w:rPr>
          <w:rFonts w:ascii="Calibri" w:eastAsia="MS Mincho" w:hAnsi="Calibri" w:cs="Arial"/>
        </w:rPr>
      </w:pPr>
      <w:r>
        <w:rPr>
          <w:rFonts w:ascii="Calibri" w:eastAsia="MS Mincho" w:hAnsi="Calibri" w:cs="Arial"/>
        </w:rPr>
        <w:t>Les titulaires garantissent que les résultats produits sont exempts de tout droit de tiers et s’engagent à indemniser l’INRAE Antilles-Guyane en cas de réclamation ou de litige lié à une violation des droits de propriété intellectuelle. En cas d’utilisation de logiciels, bases de données ou autres éléments protégés par des droits de tiers, les titulaires doivent obtenir les licences nécessaires et en informer l’INRAE Antilles-Guyane.</w:t>
      </w:r>
    </w:p>
    <w:p w14:paraId="12290002" w14:textId="77777777" w:rsidR="00472CFA" w:rsidRDefault="0043790E">
      <w:pPr>
        <w:jc w:val="both"/>
        <w:rPr>
          <w:rFonts w:ascii="Calibri" w:eastAsia="MS Mincho" w:hAnsi="Calibri" w:cs="Arial"/>
        </w:rPr>
      </w:pPr>
      <w:r>
        <w:rPr>
          <w:rFonts w:ascii="Calibri" w:eastAsia="MS Mincho" w:hAnsi="Calibri" w:cs="Arial"/>
        </w:rPr>
        <w:t>Les résultats doivent être remis sous format numérique et papier, selon les spécifications définies dans le CCTP. Toute utilisation des résultats par les titulaires en dehors du cadre de l’accord-cadre est strictement interdite sans l’autorisation préalable et écrite de l’INRAE Antilles-Guyane. Cette obligation de non-utilisation s’étend au-delà de la durée de l’accord-cadre.</w:t>
      </w:r>
    </w:p>
    <w:p w14:paraId="49F1FE2E" w14:textId="77777777" w:rsidR="00472CFA" w:rsidRDefault="0043790E">
      <w:pPr>
        <w:numPr>
          <w:ilvl w:val="1"/>
          <w:numId w:val="1"/>
        </w:numPr>
        <w:pBdr>
          <w:bottom w:val="single" w:sz="4" w:space="1" w:color="000000"/>
        </w:pBdr>
        <w:spacing w:before="240" w:after="160" w:line="247" w:lineRule="auto"/>
        <w:rPr>
          <w:rFonts w:ascii="Calibri" w:eastAsia="Cambria" w:hAnsi="Calibri" w:cs="Arial (Corps CS)"/>
          <w:b/>
          <w:smallCaps/>
          <w:color w:val="000000"/>
          <w:sz w:val="24"/>
          <w:szCs w:val="24"/>
        </w:rPr>
      </w:pPr>
      <w:bookmarkStart w:id="45" w:name="_Toc217035195"/>
      <w:r>
        <w:rPr>
          <w:rFonts w:ascii="Calibri" w:eastAsia="Cambria" w:hAnsi="Calibri" w:cs="Arial (Corps CS)"/>
          <w:b/>
          <w:smallCaps/>
          <w:color w:val="000000"/>
          <w:sz w:val="24"/>
          <w:szCs w:val="24"/>
        </w:rPr>
        <w:t>Langue et monnaie</w:t>
      </w:r>
      <w:bookmarkEnd w:id="45"/>
    </w:p>
    <w:p w14:paraId="63B1000D" w14:textId="77777777" w:rsidR="00472CFA" w:rsidRDefault="0043790E">
      <w:pPr>
        <w:jc w:val="both"/>
        <w:rPr>
          <w:rFonts w:ascii="Calibri" w:eastAsia="MS Mincho" w:hAnsi="Calibri" w:cs="Arial"/>
        </w:rPr>
      </w:pPr>
      <w:r>
        <w:rPr>
          <w:rFonts w:ascii="Calibri" w:eastAsia="MS Mincho" w:hAnsi="Calibri" w:cs="Arial"/>
        </w:rPr>
        <w:t>La présente clause établit les règles applicables en matière de langue et de monnaie dans le cadre de la consultation et de l’exécution de l’accord-cadre de maîtrise d’œuvre. Conformément aux dispositions du Code de la commande publique, tous les documents relatifs à la consultation et à l’exécution des prestations doivent être rédigés en langue française. Les échanges entre les parties doivent également être effectués en français, sauf dérogation expresse accordée par l’INRAE Antilles-Guyane.</w:t>
      </w:r>
    </w:p>
    <w:p w14:paraId="185BEEA8" w14:textId="77777777" w:rsidR="00472CFA" w:rsidRDefault="0043790E">
      <w:pPr>
        <w:jc w:val="both"/>
        <w:rPr>
          <w:rFonts w:ascii="Calibri" w:eastAsia="MS Mincho" w:hAnsi="Calibri" w:cs="Arial"/>
        </w:rPr>
      </w:pPr>
      <w:r>
        <w:rPr>
          <w:rFonts w:ascii="Calibri" w:eastAsia="MS Mincho" w:hAnsi="Calibri" w:cs="Arial"/>
        </w:rPr>
        <w:t>Les candidats sont tenus de fournir des traductions certifiées en français pour tout document rédigé dans une autre langue, notamment les certificats, attestations et références professionnelles. Ces traductions doivent être réalisées par un traducteur assermenté et accompagnées des documents originaux.</w:t>
      </w:r>
    </w:p>
    <w:p w14:paraId="19DF6725" w14:textId="77777777" w:rsidR="00472CFA" w:rsidRDefault="0043790E">
      <w:pPr>
        <w:jc w:val="both"/>
        <w:rPr>
          <w:rFonts w:ascii="Calibri" w:eastAsia="MS Mincho" w:hAnsi="Calibri" w:cs="Arial"/>
        </w:rPr>
      </w:pPr>
      <w:r>
        <w:rPr>
          <w:rFonts w:ascii="Calibri" w:eastAsia="MS Mincho" w:hAnsi="Calibri" w:cs="Arial"/>
        </w:rPr>
        <w:t>Les prix des prestations doivent être exprimés en euros (€), conformément aux dispositions du Code de la commande publique. Les paiements effectués dans le cadre de l’accord-cadre seront également réalisés en euros. Les candidats doivent s’assurer que leurs offres respectent cette exigence et incluent toutes les taxes applicables, sauf mention contraire dans les documents de consultation.</w:t>
      </w:r>
    </w:p>
    <w:p w14:paraId="2A84AE31" w14:textId="77777777" w:rsidR="00472CFA" w:rsidRDefault="0043790E">
      <w:pPr>
        <w:jc w:val="both"/>
        <w:rPr>
          <w:rFonts w:ascii="Calibri" w:eastAsia="MS Mincho" w:hAnsi="Calibri" w:cs="Arial"/>
        </w:rPr>
      </w:pPr>
      <w:r>
        <w:rPr>
          <w:rFonts w:ascii="Calibri" w:eastAsia="MS Mincho" w:hAnsi="Calibri" w:cs="Arial"/>
        </w:rPr>
        <w:t>Toute difficulté liée à l’application de cette clause doit être signalée à l’INRAE Antilles-Guyane dans les meilleurs délais, afin de trouver une solution adaptée.</w:t>
      </w:r>
    </w:p>
    <w:p w14:paraId="3F1B46AC" w14:textId="77777777" w:rsidR="00472CFA" w:rsidRDefault="0043790E">
      <w:pPr>
        <w:numPr>
          <w:ilvl w:val="0"/>
          <w:numId w:val="1"/>
        </w:numPr>
        <w:shd w:val="clear" w:color="auto" w:fill="BFBFBF"/>
        <w:spacing w:before="240" w:after="160" w:line="247" w:lineRule="auto"/>
        <w:rPr>
          <w:rFonts w:ascii="Calibri" w:eastAsia="Cambria" w:hAnsi="Calibri" w:cs="Arial (Corps CS)"/>
          <w:b/>
          <w:bCs/>
          <w:caps/>
          <w:color w:val="000000"/>
          <w:sz w:val="24"/>
          <w:szCs w:val="24"/>
        </w:rPr>
      </w:pPr>
      <w:bookmarkStart w:id="46" w:name="_Toc217035196"/>
      <w:r>
        <w:rPr>
          <w:rFonts w:ascii="Calibri" w:eastAsia="Cambria" w:hAnsi="Calibri" w:cs="Arial (Corps CS)"/>
          <w:b/>
          <w:bCs/>
          <w:caps/>
          <w:color w:val="000000"/>
          <w:sz w:val="24"/>
          <w:szCs w:val="24"/>
        </w:rPr>
        <w:t>Voies et délais de recours</w:t>
      </w:r>
      <w:bookmarkEnd w:id="46"/>
    </w:p>
    <w:p w14:paraId="14730928" w14:textId="77777777" w:rsidR="00472CFA" w:rsidRDefault="0043790E">
      <w:pPr>
        <w:jc w:val="both"/>
        <w:rPr>
          <w:rFonts w:ascii="Calibri" w:eastAsia="MS Mincho" w:hAnsi="Calibri" w:cs="Arial"/>
        </w:rPr>
      </w:pPr>
      <w:r>
        <w:rPr>
          <w:rFonts w:ascii="Calibri" w:eastAsia="MS Mincho" w:hAnsi="Calibri" w:cs="Arial"/>
        </w:rPr>
        <w:t>La présente clause définit les voies et délais de recours ouverts aux candidats dans le cadre de la consultation et de l’exécution de l’accord-cadre de maîtrise d’œuvre. Conformément aux dispositions du Code de la commande publique, les candidats disposent de plusieurs recours pour contester les décisions prises par l’INRAE Antilles-Guyane.</w:t>
      </w:r>
    </w:p>
    <w:p w14:paraId="1C3300C0" w14:textId="77777777" w:rsidR="00472CFA" w:rsidRDefault="0043790E">
      <w:pPr>
        <w:jc w:val="both"/>
      </w:pPr>
      <w:r>
        <w:rPr>
          <w:rFonts w:ascii="Calibri" w:eastAsia="MS Mincho" w:hAnsi="Calibri" w:cs="Arial"/>
        </w:rPr>
        <w:t>Les recours précontractuels peuvent être exercés conformément aux articles L.551-1 et suivants du Code de justice administrative. Ces recours doivent être introduits avant la signature de l’accord-cadre et permettent de contester la régularité de la procédure de passation. Les candidats doivent adresser leur recours au tribunal administratif compétent, situé à 34, chemin des Bougainvilliers, cité Guillard, 97100 BASSE</w:t>
      </w:r>
      <w:r>
        <w:rPr>
          <w:rFonts w:ascii="Cambria Math" w:eastAsia="MS Mincho" w:hAnsi="Cambria Math" w:cs="Cambria Math"/>
        </w:rPr>
        <w:noBreakHyphen/>
      </w:r>
      <w:r>
        <w:rPr>
          <w:rFonts w:ascii="Calibri" w:eastAsia="MS Mincho" w:hAnsi="Calibri" w:cs="Arial"/>
        </w:rPr>
        <w:t>TERRE.</w:t>
      </w:r>
    </w:p>
    <w:p w14:paraId="6BB08895" w14:textId="77777777" w:rsidR="00472CFA" w:rsidRDefault="0043790E">
      <w:pPr>
        <w:jc w:val="both"/>
      </w:pPr>
      <w:r>
        <w:rPr>
          <w:rFonts w:ascii="Calibri" w:eastAsia="MS Mincho" w:hAnsi="Calibri" w:cs="Arial"/>
        </w:rPr>
        <w:lastRenderedPageBreak/>
        <w:t>Les recours contractuels peuvent être exercés conformément aux articles L.551-13 et suivants du Code de justice administrative. Ces recours doivent être introduits après la signature de l’accord-cadre et permettent de contester la validité du contrat. Les candidats doivent également adresser leur recours au tribunal administratif compétent, situé à 34, chemin des Bougainvilliers, cité Guillard, 97100 BASSE</w:t>
      </w:r>
      <w:r>
        <w:rPr>
          <w:rFonts w:ascii="Cambria Math" w:eastAsia="MS Mincho" w:hAnsi="Cambria Math" w:cs="Cambria Math"/>
        </w:rPr>
        <w:noBreakHyphen/>
      </w:r>
      <w:r>
        <w:rPr>
          <w:rFonts w:ascii="Calibri" w:eastAsia="MS Mincho" w:hAnsi="Calibri" w:cs="Arial"/>
        </w:rPr>
        <w:t>TERRE.</w:t>
      </w:r>
    </w:p>
    <w:p w14:paraId="6E74BD3A" w14:textId="77777777" w:rsidR="00472CFA" w:rsidRDefault="0043790E">
      <w:pPr>
        <w:jc w:val="both"/>
        <w:rPr>
          <w:rFonts w:ascii="Calibri" w:eastAsia="MS Mincho" w:hAnsi="Calibri" w:cs="Arial"/>
        </w:rPr>
      </w:pPr>
      <w:r>
        <w:rPr>
          <w:rFonts w:ascii="Calibri" w:eastAsia="MS Mincho" w:hAnsi="Calibri" w:cs="Arial"/>
        </w:rPr>
        <w:t>En cas de litige relatif à l’exécution de l’accord-cadre, les parties peuvent saisir le tribunal administratif compétent, conformément aux dispositions du Code de justice administrative. Les délais de recours sont précisés dans les articles R.421-1 et suivants du Code de justice administrative.</w:t>
      </w:r>
    </w:p>
    <w:p w14:paraId="0F8C5914" w14:textId="77777777" w:rsidR="00472CFA" w:rsidRDefault="0043790E">
      <w:pPr>
        <w:jc w:val="both"/>
        <w:rPr>
          <w:rFonts w:ascii="Calibri" w:eastAsia="MS Mincho" w:hAnsi="Calibri" w:cs="Arial"/>
        </w:rPr>
      </w:pPr>
      <w:r>
        <w:rPr>
          <w:rFonts w:ascii="Calibri" w:eastAsia="MS Mincho" w:hAnsi="Calibri" w:cs="Arial"/>
        </w:rPr>
        <w:t>Les candidats sont informés qu’ils peuvent également saisir le médiateur des entreprises ou le Comité consultatif de règlement amiable des litiges, conformément aux dispositions du Code de la commande publique. Ces recours amiables doivent être exercés avant tout recours contentieux et visent à favoriser une résolution rapide et équitable des différends.</w:t>
      </w:r>
    </w:p>
    <w:p w14:paraId="16420340" w14:textId="77777777" w:rsidR="00472CFA" w:rsidRDefault="0043790E">
      <w:pPr>
        <w:jc w:val="both"/>
        <w:rPr>
          <w:rFonts w:ascii="Calibri" w:eastAsia="MS Mincho" w:hAnsi="Calibri" w:cs="Arial"/>
        </w:rPr>
      </w:pPr>
      <w:r>
        <w:rPr>
          <w:rFonts w:ascii="Calibri" w:eastAsia="MS Mincho" w:hAnsi="Calibri" w:cs="Arial"/>
        </w:rPr>
        <w:t>Enfin, les candidats sont invités à consulter les documents contractuels annexés au règlement de la consultation pour obtenir des informations complémentaires sur les voies et délais de recours.</w:t>
      </w:r>
    </w:p>
    <w:p w14:paraId="7D835D74" w14:textId="77777777" w:rsidR="00472CFA" w:rsidRDefault="00472CFA"/>
    <w:sectPr w:rsidR="00472CFA">
      <w:footerReference w:type="default" r:id="rId10"/>
      <w:pgSz w:w="12240" w:h="15840"/>
      <w:pgMar w:top="1440" w:right="1080" w:bottom="144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D2B90" w14:textId="77777777" w:rsidR="00887A82" w:rsidRDefault="00887A82">
      <w:pPr>
        <w:spacing w:after="0" w:line="240" w:lineRule="auto"/>
      </w:pPr>
      <w:r>
        <w:separator/>
      </w:r>
    </w:p>
  </w:endnote>
  <w:endnote w:type="continuationSeparator" w:id="0">
    <w:p w14:paraId="34C33EA1" w14:textId="77777777" w:rsidR="00887A82" w:rsidRDefault="00887A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ourier">
    <w:panose1 w:val="02070409020205020404"/>
    <w:charset w:val="00"/>
    <w:family w:val="modern"/>
    <w:pitch w:val="fixed"/>
    <w:sig w:usb0="E0002AFF" w:usb1="C0007843" w:usb2="00000009" w:usb3="00000000" w:csb0="000001FF" w:csb1="00000000"/>
  </w:font>
  <w:font w:name="Arial (Corps CS)">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8173240"/>
      <w:docPartObj>
        <w:docPartGallery w:val="Page Numbers (Bottom of Page)"/>
        <w:docPartUnique/>
      </w:docPartObj>
    </w:sdtPr>
    <w:sdtEndPr/>
    <w:sdtContent>
      <w:p w14:paraId="7ECFA809" w14:textId="4717424B" w:rsidR="000379C8" w:rsidRDefault="000379C8">
        <w:pPr>
          <w:pStyle w:val="Pieddepage"/>
          <w:jc w:val="center"/>
        </w:pPr>
        <w:r>
          <w:fldChar w:fldCharType="begin"/>
        </w:r>
        <w:r>
          <w:instrText>PAGE   \* MERGEFORMAT</w:instrText>
        </w:r>
        <w:r>
          <w:fldChar w:fldCharType="separate"/>
        </w:r>
        <w:r>
          <w:t>2</w:t>
        </w:r>
        <w:r>
          <w:fldChar w:fldCharType="end"/>
        </w:r>
      </w:p>
    </w:sdtContent>
  </w:sdt>
  <w:p w14:paraId="3907301E" w14:textId="33D7F49B" w:rsidR="0043790E" w:rsidRDefault="0043790E">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6B68A" w14:textId="77777777" w:rsidR="00887A82" w:rsidRDefault="00887A82">
      <w:pPr>
        <w:spacing w:after="0" w:line="240" w:lineRule="auto"/>
      </w:pPr>
      <w:r>
        <w:rPr>
          <w:color w:val="000000"/>
        </w:rPr>
        <w:separator/>
      </w:r>
    </w:p>
  </w:footnote>
  <w:footnote w:type="continuationSeparator" w:id="0">
    <w:p w14:paraId="2AB6A119" w14:textId="77777777" w:rsidR="00887A82" w:rsidRDefault="00887A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25D7D"/>
    <w:multiLevelType w:val="multilevel"/>
    <w:tmpl w:val="99C83E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013D86"/>
    <w:multiLevelType w:val="multilevel"/>
    <w:tmpl w:val="DD2ED9A8"/>
    <w:styleLink w:val="LFO1"/>
    <w:lvl w:ilvl="0">
      <w:start w:val="1"/>
      <w:numFmt w:val="decimal"/>
      <w:pStyle w:val="Listepuces"/>
      <w:lvlText w:val="Article %1."/>
      <w:lvlJc w:val="left"/>
      <w:pPr>
        <w:ind w:left="170" w:hanging="170"/>
      </w:pPr>
      <w:rPr>
        <w:rFonts w:ascii="Calibri" w:hAnsi="Calibri"/>
        <w:b/>
        <w:i w:val="0"/>
        <w:sz w:val="24"/>
      </w:rPr>
    </w:lvl>
    <w:lvl w:ilvl="1">
      <w:start w:val="1"/>
      <w:numFmt w:val="decimal"/>
      <w:lvlText w:val="%1.%2. "/>
      <w:lvlJc w:val="left"/>
      <w:pPr>
        <w:ind w:left="720" w:hanging="607"/>
      </w:pPr>
      <w:rPr>
        <w:rFonts w:ascii="Calibri" w:hAnsi="Calibri"/>
        <w:sz w:val="24"/>
      </w:rPr>
    </w:lvl>
    <w:lvl w:ilvl="2">
      <w:start w:val="1"/>
      <w:numFmt w:val="decimal"/>
      <w:lvlText w:val="%1.%2.%3."/>
      <w:lvlJc w:val="left"/>
      <w:pPr>
        <w:ind w:left="1080" w:hanging="910"/>
      </w:pPr>
      <w:rPr>
        <w:rFonts w:ascii="Calibri" w:hAnsi="Calibri"/>
        <w:b/>
        <w:i/>
        <w:sz w:val="22"/>
      </w:rPr>
    </w:lvl>
    <w:lvl w:ilvl="3">
      <w:start w:val="1"/>
      <w:numFmt w:val="decimal"/>
      <w:lvlText w:val="%1.%2.%3.%4. "/>
      <w:lvlJc w:val="left"/>
      <w:pPr>
        <w:ind w:left="1440" w:hanging="1156"/>
      </w:pPr>
      <w:rPr>
        <w:rFonts w:ascii="Calibri" w:hAnsi="Calibri"/>
        <w:b w:val="0"/>
        <w:i/>
        <w:sz w:val="22"/>
        <w:u w:val="none"/>
      </w:rPr>
    </w:lvl>
    <w:lvl w:ilvl="4">
      <w:start w:val="1"/>
      <w:numFmt w:val="decimal"/>
      <w:lvlText w:val="%1.%2.%3.%4.%5."/>
      <w:lvlJc w:val="left"/>
      <w:pPr>
        <w:ind w:left="1588" w:hanging="1588"/>
      </w:pPr>
      <w:rPr>
        <w:rFonts w:ascii="Calibri" w:hAnsi="Calibri"/>
        <w:b w:val="0"/>
        <w:i/>
        <w:color w:val="auto"/>
        <w:sz w:val="20"/>
      </w:rPr>
    </w:lvl>
    <w:lvl w:ilvl="5">
      <w:start w:val="1"/>
      <w:numFmt w:val="decimal"/>
      <w:lvlText w:val="%1.%2.%3.%4.%5.%6."/>
      <w:lvlJc w:val="left"/>
      <w:pPr>
        <w:ind w:left="2160" w:hanging="1876"/>
      </w:pPr>
      <w:rPr>
        <w:rFonts w:ascii="Calibri" w:hAnsi="Calibri"/>
        <w:b w:val="0"/>
        <w:i/>
        <w:sz w:val="20"/>
        <w:u w:val="single"/>
      </w:r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2" w15:restartNumberingAfterBreak="0">
    <w:nsid w:val="39B23166"/>
    <w:multiLevelType w:val="multilevel"/>
    <w:tmpl w:val="AA6C60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50C2E94"/>
    <w:multiLevelType w:val="multilevel"/>
    <w:tmpl w:val="2472AB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AF3775"/>
    <w:multiLevelType w:val="multilevel"/>
    <w:tmpl w:val="81C030C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5B980D46"/>
    <w:multiLevelType w:val="multilevel"/>
    <w:tmpl w:val="CD58487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6130385F"/>
    <w:multiLevelType w:val="multilevel"/>
    <w:tmpl w:val="CA1058E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9C7CD5"/>
    <w:multiLevelType w:val="multilevel"/>
    <w:tmpl w:val="7EBECF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67241811"/>
    <w:multiLevelType w:val="multilevel"/>
    <w:tmpl w:val="D7DE177A"/>
    <w:styleLink w:val="LFO3"/>
    <w:lvl w:ilvl="0">
      <w:start w:val="1"/>
      <w:numFmt w:val="decimal"/>
      <w:pStyle w:val="Listepuces3"/>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1646A4E"/>
    <w:multiLevelType w:val="multilevel"/>
    <w:tmpl w:val="19EAA5D2"/>
    <w:styleLink w:val="LFO2"/>
    <w:lvl w:ilvl="0">
      <w:numFmt w:val="bullet"/>
      <w:pStyle w:val="Listepuces2"/>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7C412C46"/>
    <w:multiLevelType w:val="multilevel"/>
    <w:tmpl w:val="463E1F3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
  </w:num>
  <w:num w:numId="2">
    <w:abstractNumId w:val="9"/>
  </w:num>
  <w:num w:numId="3">
    <w:abstractNumId w:val="8"/>
  </w:num>
  <w:num w:numId="4">
    <w:abstractNumId w:val="1"/>
    <w:lvlOverride w:ilvl="0">
      <w:startOverride w:val="1"/>
    </w:lvlOverride>
  </w:num>
  <w:num w:numId="5">
    <w:abstractNumId w:val="9"/>
    <w:lvlOverride w:ilvl="0">
      <w:startOverride w:val="1"/>
    </w:lvlOverride>
  </w:num>
  <w:num w:numId="6">
    <w:abstractNumId w:val="8"/>
    <w:lvlOverride w:ilvl="0">
      <w:startOverride w:val="1"/>
    </w:lvlOverride>
  </w:num>
  <w:num w:numId="7">
    <w:abstractNumId w:val="4"/>
  </w:num>
  <w:num w:numId="8">
    <w:abstractNumId w:val="4"/>
    <w:lvlOverride w:ilvl="0">
      <w:startOverride w:val="1"/>
    </w:lvlOverride>
  </w:num>
  <w:num w:numId="9">
    <w:abstractNumId w:val="0"/>
  </w:num>
  <w:num w:numId="10">
    <w:abstractNumId w:val="0"/>
    <w:lvlOverride w:ilvl="0">
      <w:startOverride w:val="1"/>
    </w:lvlOverride>
  </w:num>
  <w:num w:numId="11">
    <w:abstractNumId w:val="3"/>
  </w:num>
  <w:num w:numId="12">
    <w:abstractNumId w:val="3"/>
    <w:lvlOverride w:ilvl="0">
      <w:startOverride w:val="1"/>
    </w:lvlOverride>
  </w:num>
  <w:num w:numId="13">
    <w:abstractNumId w:val="10"/>
  </w:num>
  <w:num w:numId="14">
    <w:abstractNumId w:val="10"/>
    <w:lvlOverride w:ilvl="0">
      <w:startOverride w:val="1"/>
    </w:lvlOverride>
  </w:num>
  <w:num w:numId="15">
    <w:abstractNumId w:val="5"/>
  </w:num>
  <w:num w:numId="16">
    <w:abstractNumId w:val="5"/>
    <w:lvlOverride w:ilvl="0">
      <w:startOverride w:val="1"/>
    </w:lvlOverride>
  </w:num>
  <w:num w:numId="17">
    <w:abstractNumId w:val="6"/>
  </w:num>
  <w:num w:numId="18">
    <w:abstractNumId w:val="6"/>
    <w:lvlOverride w:ilvl="0">
      <w:startOverride w:val="1"/>
    </w:lvlOverride>
  </w:num>
  <w:num w:numId="19">
    <w:abstractNumId w:val="7"/>
  </w:num>
  <w:num w:numId="20">
    <w:abstractNumId w:val="7"/>
    <w:lvlOverride w:ilvl="0">
      <w:startOverride w:val="1"/>
    </w:lvlOverride>
  </w:num>
  <w:num w:numId="21">
    <w:abstractNumId w:val="2"/>
  </w:num>
  <w:num w:numId="2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CFA"/>
    <w:rsid w:val="000345CA"/>
    <w:rsid w:val="000379C8"/>
    <w:rsid w:val="00095DF4"/>
    <w:rsid w:val="00130D29"/>
    <w:rsid w:val="00162144"/>
    <w:rsid w:val="00246115"/>
    <w:rsid w:val="002F141A"/>
    <w:rsid w:val="0033697A"/>
    <w:rsid w:val="00397E9D"/>
    <w:rsid w:val="003E55F2"/>
    <w:rsid w:val="0043790E"/>
    <w:rsid w:val="00472CFA"/>
    <w:rsid w:val="005F6CF7"/>
    <w:rsid w:val="0064019B"/>
    <w:rsid w:val="00744209"/>
    <w:rsid w:val="00752F6E"/>
    <w:rsid w:val="0078101D"/>
    <w:rsid w:val="00887A82"/>
    <w:rsid w:val="008C3DFF"/>
    <w:rsid w:val="00945A37"/>
    <w:rsid w:val="009619B8"/>
    <w:rsid w:val="009723A8"/>
    <w:rsid w:val="009A5D3E"/>
    <w:rsid w:val="00DB26EA"/>
    <w:rsid w:val="00F21C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23283"/>
  <w15:docId w15:val="{3FCC5F63-0C60-4625-8611-B7295FC7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Aptos" w:hAnsi="Aptos" w:cs="Times New Roman"/>
        <w:kern w:val="3"/>
        <w:sz w:val="24"/>
        <w:szCs w:val="24"/>
        <w:lang w:val="fr-FR" w:eastAsia="en-US" w:bidi="ar-SA"/>
      </w:rPr>
    </w:rPrDefault>
    <w:pPrDefault>
      <w:pPr>
        <w:autoSpaceDN w:val="0"/>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spacing w:after="200"/>
    </w:pPr>
    <w:rPr>
      <w:rFonts w:ascii="Aptos Display" w:eastAsia="Times New Roman" w:hAnsi="Aptos Display"/>
      <w:kern w:val="0"/>
      <w:sz w:val="22"/>
      <w:szCs w:val="22"/>
    </w:rPr>
  </w:style>
  <w:style w:type="paragraph" w:styleId="Titre1">
    <w:name w:val="heading 1"/>
    <w:basedOn w:val="Normal"/>
    <w:next w:val="Normal"/>
    <w:uiPriority w:val="9"/>
    <w:qFormat/>
    <w:pPr>
      <w:keepNext/>
      <w:keepLines/>
      <w:spacing w:before="360" w:after="80"/>
      <w:outlineLvl w:val="0"/>
    </w:pPr>
    <w:rPr>
      <w:color w:val="0F4761"/>
      <w:sz w:val="40"/>
      <w:szCs w:val="40"/>
    </w:rPr>
  </w:style>
  <w:style w:type="paragraph" w:styleId="Titre2">
    <w:name w:val="heading 2"/>
    <w:basedOn w:val="Normal"/>
    <w:next w:val="Normal"/>
    <w:uiPriority w:val="9"/>
    <w:semiHidden/>
    <w:unhideWhenUsed/>
    <w:qFormat/>
    <w:pPr>
      <w:keepNext/>
      <w:keepLines/>
      <w:spacing w:before="160" w:after="80"/>
      <w:outlineLvl w:val="1"/>
    </w:pPr>
    <w:rPr>
      <w:color w:val="0F4761"/>
      <w:sz w:val="32"/>
      <w:szCs w:val="32"/>
    </w:rPr>
  </w:style>
  <w:style w:type="paragraph" w:styleId="Titre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Titre4">
    <w:name w:val="heading 4"/>
    <w:basedOn w:val="Normal"/>
    <w:next w:val="Normal"/>
    <w:uiPriority w:val="9"/>
    <w:semiHidden/>
    <w:unhideWhenUsed/>
    <w:qFormat/>
    <w:pPr>
      <w:keepNext/>
      <w:keepLines/>
      <w:spacing w:before="80" w:after="40"/>
      <w:outlineLvl w:val="3"/>
    </w:pPr>
    <w:rPr>
      <w:i/>
      <w:iCs/>
      <w:color w:val="0F4761"/>
    </w:rPr>
  </w:style>
  <w:style w:type="paragraph" w:styleId="Titre5">
    <w:name w:val="heading 5"/>
    <w:basedOn w:val="Normal"/>
    <w:next w:val="Normal"/>
    <w:uiPriority w:val="9"/>
    <w:semiHidden/>
    <w:unhideWhenUsed/>
    <w:qFormat/>
    <w:pPr>
      <w:keepNext/>
      <w:keepLines/>
      <w:spacing w:before="80" w:after="40"/>
      <w:outlineLvl w:val="4"/>
    </w:pPr>
    <w:rPr>
      <w:color w:val="0F4761"/>
    </w:rPr>
  </w:style>
  <w:style w:type="paragraph" w:styleId="Titre6">
    <w:name w:val="heading 6"/>
    <w:basedOn w:val="Normal"/>
    <w:next w:val="Normal"/>
    <w:uiPriority w:val="9"/>
    <w:semiHidden/>
    <w:unhideWhenUsed/>
    <w:qFormat/>
    <w:pPr>
      <w:keepNext/>
      <w:keepLines/>
      <w:spacing w:before="40" w:after="0"/>
      <w:outlineLvl w:val="5"/>
    </w:pPr>
    <w:rPr>
      <w:i/>
      <w:iCs/>
      <w:color w:val="595959"/>
    </w:rPr>
  </w:style>
  <w:style w:type="paragraph" w:styleId="Titre7">
    <w:name w:val="heading 7"/>
    <w:basedOn w:val="Normal"/>
    <w:next w:val="Normal"/>
    <w:pPr>
      <w:keepNext/>
      <w:keepLines/>
      <w:spacing w:before="40" w:after="0"/>
      <w:outlineLvl w:val="6"/>
    </w:pPr>
    <w:rPr>
      <w:color w:val="595959"/>
    </w:rPr>
  </w:style>
  <w:style w:type="paragraph" w:styleId="Titre8">
    <w:name w:val="heading 8"/>
    <w:basedOn w:val="Normal"/>
    <w:next w:val="Normal"/>
    <w:pPr>
      <w:keepNext/>
      <w:keepLines/>
      <w:spacing w:after="0"/>
      <w:outlineLvl w:val="7"/>
    </w:pPr>
    <w:rPr>
      <w:i/>
      <w:iCs/>
      <w:color w:val="272727"/>
    </w:rPr>
  </w:style>
  <w:style w:type="paragraph" w:styleId="Titre9">
    <w:name w:val="heading 9"/>
    <w:basedOn w:val="Normal"/>
    <w:next w:val="Normal"/>
    <w:pPr>
      <w:keepNext/>
      <w:keepLines/>
      <w:spacing w:after="0"/>
      <w:outlineLvl w:val="8"/>
    </w:pPr>
    <w:rPr>
      <w:color w:val="2727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rPr>
      <w:rFonts w:ascii="Aptos Display" w:eastAsia="Times New Roman" w:hAnsi="Aptos Display" w:cs="Times New Roman"/>
      <w:color w:val="0F4761"/>
      <w:sz w:val="40"/>
      <w:szCs w:val="40"/>
    </w:rPr>
  </w:style>
  <w:style w:type="character" w:customStyle="1" w:styleId="Titre2Car">
    <w:name w:val="Titre 2 Car"/>
    <w:basedOn w:val="Policepardfaut"/>
    <w:rPr>
      <w:rFonts w:ascii="Aptos Display" w:eastAsia="Times New Roman" w:hAnsi="Aptos Display" w:cs="Times New Roman"/>
      <w:color w:val="0F4761"/>
      <w:sz w:val="32"/>
      <w:szCs w:val="32"/>
    </w:rPr>
  </w:style>
  <w:style w:type="character" w:customStyle="1" w:styleId="Titre3Car">
    <w:name w:val="Titre 3 Car"/>
    <w:basedOn w:val="Policepardfaut"/>
    <w:rPr>
      <w:rFonts w:eastAsia="Times New Roman" w:cs="Times New Roman"/>
      <w:color w:val="0F4761"/>
      <w:sz w:val="28"/>
      <w:szCs w:val="28"/>
    </w:rPr>
  </w:style>
  <w:style w:type="character" w:customStyle="1" w:styleId="Titre4Car">
    <w:name w:val="Titre 4 Car"/>
    <w:basedOn w:val="Policepardfaut"/>
    <w:rPr>
      <w:rFonts w:eastAsia="Times New Roman" w:cs="Times New Roman"/>
      <w:i/>
      <w:iCs/>
      <w:color w:val="0F4761"/>
    </w:rPr>
  </w:style>
  <w:style w:type="character" w:customStyle="1" w:styleId="Titre5Car">
    <w:name w:val="Titre 5 Car"/>
    <w:basedOn w:val="Policepardfaut"/>
    <w:rPr>
      <w:rFonts w:eastAsia="Times New Roman" w:cs="Times New Roman"/>
      <w:color w:val="0F4761"/>
    </w:rPr>
  </w:style>
  <w:style w:type="character" w:customStyle="1" w:styleId="Titre6Car">
    <w:name w:val="Titre 6 Car"/>
    <w:basedOn w:val="Policepardfaut"/>
    <w:rPr>
      <w:rFonts w:eastAsia="Times New Roman" w:cs="Times New Roman"/>
      <w:i/>
      <w:iCs/>
      <w:color w:val="595959"/>
    </w:rPr>
  </w:style>
  <w:style w:type="character" w:customStyle="1" w:styleId="Titre7Car">
    <w:name w:val="Titre 7 Car"/>
    <w:basedOn w:val="Policepardfaut"/>
    <w:rPr>
      <w:rFonts w:eastAsia="Times New Roman" w:cs="Times New Roman"/>
      <w:color w:val="595959"/>
    </w:rPr>
  </w:style>
  <w:style w:type="character" w:customStyle="1" w:styleId="Titre8Car">
    <w:name w:val="Titre 8 Car"/>
    <w:basedOn w:val="Policepardfaut"/>
    <w:rPr>
      <w:rFonts w:eastAsia="Times New Roman" w:cs="Times New Roman"/>
      <w:i/>
      <w:iCs/>
      <w:color w:val="272727"/>
    </w:rPr>
  </w:style>
  <w:style w:type="character" w:customStyle="1" w:styleId="Titre9Car">
    <w:name w:val="Titre 9 Car"/>
    <w:basedOn w:val="Policepardfaut"/>
    <w:rPr>
      <w:rFonts w:eastAsia="Times New Roman" w:cs="Times New Roman"/>
      <w:color w:val="272727"/>
    </w:rPr>
  </w:style>
  <w:style w:type="paragraph" w:styleId="Titre">
    <w:name w:val="Title"/>
    <w:basedOn w:val="Normal"/>
    <w:next w:val="Normal"/>
    <w:uiPriority w:val="10"/>
    <w:qFormat/>
    <w:pPr>
      <w:spacing w:after="80" w:line="240" w:lineRule="auto"/>
      <w:contextualSpacing/>
    </w:pPr>
    <w:rPr>
      <w:spacing w:val="-10"/>
      <w:kern w:val="3"/>
      <w:sz w:val="56"/>
      <w:szCs w:val="56"/>
    </w:rPr>
  </w:style>
  <w:style w:type="character" w:customStyle="1" w:styleId="TitreCar">
    <w:name w:val="Titre Car"/>
    <w:basedOn w:val="Policepardfaut"/>
    <w:rPr>
      <w:rFonts w:ascii="Aptos Display" w:eastAsia="Times New Roman" w:hAnsi="Aptos Display" w:cs="Times New Roman"/>
      <w:spacing w:val="-10"/>
      <w:kern w:val="3"/>
      <w:sz w:val="56"/>
      <w:szCs w:val="56"/>
    </w:rPr>
  </w:style>
  <w:style w:type="paragraph" w:styleId="Sous-titre">
    <w:name w:val="Subtitle"/>
    <w:basedOn w:val="Normal"/>
    <w:next w:val="Normal"/>
    <w:uiPriority w:val="11"/>
    <w:qFormat/>
    <w:rPr>
      <w:color w:val="595959"/>
      <w:spacing w:val="15"/>
      <w:sz w:val="28"/>
      <w:szCs w:val="28"/>
    </w:rPr>
  </w:style>
  <w:style w:type="character" w:customStyle="1" w:styleId="Sous-titreCar">
    <w:name w:val="Sous-titre Car"/>
    <w:basedOn w:val="Policepardfaut"/>
    <w:rPr>
      <w:rFonts w:eastAsia="Times New Roman" w:cs="Times New Roman"/>
      <w:color w:val="595959"/>
      <w:spacing w:val="15"/>
      <w:sz w:val="28"/>
      <w:szCs w:val="28"/>
    </w:rPr>
  </w:style>
  <w:style w:type="paragraph" w:styleId="Citation">
    <w:name w:val="Quote"/>
    <w:basedOn w:val="Normal"/>
    <w:next w:val="Normal"/>
    <w:pPr>
      <w:spacing w:before="160"/>
      <w:jc w:val="center"/>
    </w:pPr>
    <w:rPr>
      <w:i/>
      <w:iCs/>
      <w:color w:val="404040"/>
    </w:rPr>
  </w:style>
  <w:style w:type="character" w:customStyle="1" w:styleId="CitationCar">
    <w:name w:val="Citation Car"/>
    <w:basedOn w:val="Policepardfaut"/>
    <w:rPr>
      <w:i/>
      <w:iCs/>
      <w:color w:val="404040"/>
    </w:rPr>
  </w:style>
  <w:style w:type="paragraph" w:styleId="Paragraphedeliste">
    <w:name w:val="List Paragraph"/>
    <w:basedOn w:val="Normal"/>
    <w:pPr>
      <w:ind w:left="720"/>
      <w:contextualSpacing/>
    </w:pPr>
  </w:style>
  <w:style w:type="character" w:styleId="Accentuationintense">
    <w:name w:val="Intense Emphasis"/>
    <w:basedOn w:val="Policepardfaut"/>
    <w:rPr>
      <w:i/>
      <w:iCs/>
      <w:color w:val="0F4761"/>
    </w:rPr>
  </w:style>
  <w:style w:type="paragraph" w:styleId="Citationintens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CitationintenseCar">
    <w:name w:val="Citation intense Car"/>
    <w:basedOn w:val="Policepardfaut"/>
    <w:rPr>
      <w:i/>
      <w:iCs/>
      <w:color w:val="0F4761"/>
    </w:rPr>
  </w:style>
  <w:style w:type="character" w:styleId="Rfrenceintense">
    <w:name w:val="Intense Reference"/>
    <w:basedOn w:val="Policepardfaut"/>
    <w:rPr>
      <w:b/>
      <w:bCs/>
      <w:smallCaps/>
      <w:color w:val="0F4761"/>
      <w:spacing w:val="5"/>
    </w:rPr>
  </w:style>
  <w:style w:type="paragraph" w:styleId="En-tte">
    <w:name w:val="header"/>
    <w:basedOn w:val="Normal"/>
    <w:pPr>
      <w:tabs>
        <w:tab w:val="center" w:pos="4680"/>
        <w:tab w:val="right" w:pos="9360"/>
      </w:tabs>
      <w:spacing w:after="0" w:line="240" w:lineRule="auto"/>
    </w:pPr>
  </w:style>
  <w:style w:type="character" w:customStyle="1" w:styleId="En-tteCar">
    <w:name w:val="En-tête Car"/>
    <w:basedOn w:val="Policepardfaut"/>
    <w:rPr>
      <w:rFonts w:ascii="Aptos Display" w:eastAsia="Times New Roman" w:hAnsi="Aptos Display"/>
      <w:kern w:val="0"/>
      <w:sz w:val="22"/>
      <w:szCs w:val="22"/>
    </w:rPr>
  </w:style>
  <w:style w:type="paragraph" w:styleId="Pieddepage">
    <w:name w:val="footer"/>
    <w:basedOn w:val="Normal"/>
    <w:uiPriority w:val="99"/>
    <w:pPr>
      <w:tabs>
        <w:tab w:val="center" w:pos="4680"/>
        <w:tab w:val="right" w:pos="9360"/>
      </w:tabs>
      <w:spacing w:after="0" w:line="240" w:lineRule="auto"/>
    </w:pPr>
  </w:style>
  <w:style w:type="character" w:customStyle="1" w:styleId="PieddepageCar">
    <w:name w:val="Pied de page Car"/>
    <w:basedOn w:val="Policepardfaut"/>
    <w:uiPriority w:val="99"/>
    <w:rPr>
      <w:rFonts w:ascii="Aptos Display" w:eastAsia="Times New Roman" w:hAnsi="Aptos Display"/>
      <w:kern w:val="0"/>
      <w:sz w:val="22"/>
      <w:szCs w:val="22"/>
    </w:rPr>
  </w:style>
  <w:style w:type="paragraph" w:styleId="Sansinterligne">
    <w:name w:val="No Spacing"/>
    <w:pPr>
      <w:suppressAutoHyphens/>
      <w:spacing w:after="0" w:line="240" w:lineRule="auto"/>
    </w:pPr>
    <w:rPr>
      <w:rFonts w:eastAsia="Times New Roman"/>
      <w:kern w:val="0"/>
      <w:sz w:val="22"/>
      <w:szCs w:val="22"/>
    </w:rPr>
  </w:style>
  <w:style w:type="paragraph" w:styleId="Corpsdetexte">
    <w:name w:val="Body Text"/>
    <w:basedOn w:val="Normal"/>
    <w:pPr>
      <w:spacing w:after="120"/>
    </w:pPr>
  </w:style>
  <w:style w:type="character" w:customStyle="1" w:styleId="CorpsdetexteCar">
    <w:name w:val="Corps de texte Car"/>
    <w:basedOn w:val="Policepardfaut"/>
    <w:rPr>
      <w:rFonts w:ascii="Aptos Display" w:eastAsia="Times New Roman" w:hAnsi="Aptos Display"/>
      <w:kern w:val="0"/>
      <w:sz w:val="22"/>
      <w:szCs w:val="22"/>
    </w:rPr>
  </w:style>
  <w:style w:type="paragraph" w:styleId="Corpsdetexte2">
    <w:name w:val="Body Text 2"/>
    <w:basedOn w:val="Normal"/>
    <w:pPr>
      <w:spacing w:after="120" w:line="480" w:lineRule="auto"/>
    </w:pPr>
  </w:style>
  <w:style w:type="character" w:customStyle="1" w:styleId="Corpsdetexte2Car">
    <w:name w:val="Corps de texte 2 Car"/>
    <w:basedOn w:val="Policepardfaut"/>
    <w:rPr>
      <w:rFonts w:ascii="Aptos Display" w:eastAsia="Times New Roman" w:hAnsi="Aptos Display"/>
      <w:kern w:val="0"/>
      <w:sz w:val="22"/>
      <w:szCs w:val="22"/>
    </w:rPr>
  </w:style>
  <w:style w:type="paragraph" w:styleId="Corpsdetexte3">
    <w:name w:val="Body Text 3"/>
    <w:basedOn w:val="Normal"/>
    <w:pPr>
      <w:spacing w:after="120"/>
    </w:pPr>
    <w:rPr>
      <w:sz w:val="16"/>
      <w:szCs w:val="16"/>
    </w:rPr>
  </w:style>
  <w:style w:type="character" w:customStyle="1" w:styleId="Corpsdetexte3Car">
    <w:name w:val="Corps de texte 3 Car"/>
    <w:basedOn w:val="Policepardfaut"/>
    <w:rPr>
      <w:rFonts w:ascii="Aptos Display" w:eastAsia="Times New Roman" w:hAnsi="Aptos Display"/>
      <w:kern w:val="0"/>
      <w:sz w:val="16"/>
      <w:szCs w:val="16"/>
    </w:rPr>
  </w:style>
  <w:style w:type="paragraph" w:styleId="Liste">
    <w:name w:val="List"/>
    <w:basedOn w:val="Normal"/>
    <w:pPr>
      <w:ind w:left="360" w:hanging="360"/>
      <w:contextualSpacing/>
    </w:pPr>
  </w:style>
  <w:style w:type="paragraph" w:styleId="Liste2">
    <w:name w:val="List 2"/>
    <w:basedOn w:val="Normal"/>
    <w:pPr>
      <w:ind w:left="720" w:hanging="360"/>
      <w:contextualSpacing/>
    </w:pPr>
  </w:style>
  <w:style w:type="paragraph" w:styleId="Liste3">
    <w:name w:val="List 3"/>
    <w:basedOn w:val="Normal"/>
    <w:pPr>
      <w:ind w:left="1080" w:hanging="360"/>
      <w:contextualSpacing/>
    </w:pPr>
  </w:style>
  <w:style w:type="paragraph" w:styleId="Listepuces">
    <w:name w:val="List Bullet"/>
    <w:basedOn w:val="Normal"/>
    <w:pPr>
      <w:numPr>
        <w:numId w:val="1"/>
      </w:numPr>
      <w:contextualSpacing/>
    </w:pPr>
  </w:style>
  <w:style w:type="paragraph" w:styleId="Listepuces2">
    <w:name w:val="List Bullet 2"/>
    <w:basedOn w:val="Normal"/>
    <w:pPr>
      <w:numPr>
        <w:numId w:val="2"/>
      </w:numPr>
      <w:contextualSpacing/>
    </w:pPr>
  </w:style>
  <w:style w:type="paragraph" w:styleId="Listepuces3">
    <w:name w:val="List Bullet 3"/>
    <w:basedOn w:val="Normal"/>
    <w:pPr>
      <w:numPr>
        <w:numId w:val="3"/>
      </w:numPr>
      <w:contextualSpacing/>
    </w:pPr>
  </w:style>
  <w:style w:type="paragraph" w:styleId="Listenumros">
    <w:name w:val="List Number"/>
    <w:basedOn w:val="Normal"/>
    <w:pPr>
      <w:ind w:left="360" w:hanging="360"/>
      <w:contextualSpacing/>
    </w:pPr>
  </w:style>
  <w:style w:type="paragraph" w:styleId="Listenumros2">
    <w:name w:val="List Number 2"/>
    <w:basedOn w:val="Normal"/>
    <w:pPr>
      <w:ind w:left="360" w:hanging="360"/>
      <w:contextualSpacing/>
    </w:pPr>
  </w:style>
  <w:style w:type="paragraph" w:styleId="Listenumros3">
    <w:name w:val="List Number 3"/>
    <w:basedOn w:val="Normal"/>
    <w:pPr>
      <w:ind w:left="720" w:hanging="360"/>
      <w:contextualSpacing/>
    </w:pPr>
  </w:style>
  <w:style w:type="paragraph" w:styleId="Listecontinue">
    <w:name w:val="List Continue"/>
    <w:basedOn w:val="Normal"/>
    <w:pPr>
      <w:spacing w:after="120"/>
      <w:ind w:left="360"/>
      <w:contextualSpacing/>
    </w:pPr>
  </w:style>
  <w:style w:type="paragraph" w:styleId="Listecontinue2">
    <w:name w:val="List Continue 2"/>
    <w:basedOn w:val="Normal"/>
    <w:pPr>
      <w:spacing w:after="120"/>
      <w:ind w:left="720"/>
      <w:contextualSpacing/>
    </w:pPr>
  </w:style>
  <w:style w:type="paragraph" w:styleId="Listecontinue3">
    <w:name w:val="List Continue 3"/>
    <w:basedOn w:val="Normal"/>
    <w:pPr>
      <w:spacing w:after="120"/>
      <w:ind w:left="1080"/>
      <w:contextualSpacing/>
    </w:pPr>
  </w:style>
  <w:style w:type="paragraph" w:styleId="Textedemacro">
    <w:name w:val="macro"/>
    <w:pPr>
      <w:tabs>
        <w:tab w:val="left" w:pos="576"/>
        <w:tab w:val="left" w:pos="1152"/>
        <w:tab w:val="left" w:pos="1728"/>
        <w:tab w:val="left" w:pos="2304"/>
        <w:tab w:val="left" w:pos="2880"/>
        <w:tab w:val="left" w:pos="3456"/>
        <w:tab w:val="left" w:pos="4032"/>
      </w:tabs>
      <w:suppressAutoHyphens/>
      <w:spacing w:after="200"/>
    </w:pPr>
    <w:rPr>
      <w:rFonts w:ascii="Courier" w:eastAsia="Times New Roman" w:hAnsi="Courier"/>
      <w:kern w:val="0"/>
      <w:sz w:val="20"/>
      <w:szCs w:val="20"/>
    </w:rPr>
  </w:style>
  <w:style w:type="character" w:customStyle="1" w:styleId="TextedemacroCar">
    <w:name w:val="Texte de macro Car"/>
    <w:basedOn w:val="Policepardfaut"/>
    <w:rPr>
      <w:rFonts w:ascii="Courier" w:eastAsia="Times New Roman" w:hAnsi="Courier"/>
      <w:kern w:val="0"/>
      <w:sz w:val="20"/>
      <w:szCs w:val="20"/>
    </w:rPr>
  </w:style>
  <w:style w:type="paragraph" w:styleId="Lgende">
    <w:name w:val="caption"/>
    <w:basedOn w:val="Normal"/>
    <w:next w:val="Normal"/>
    <w:pPr>
      <w:spacing w:line="240" w:lineRule="auto"/>
    </w:pPr>
    <w:rPr>
      <w:b/>
      <w:bCs/>
      <w:color w:val="156082"/>
      <w:sz w:val="18"/>
      <w:szCs w:val="18"/>
    </w:rPr>
  </w:style>
  <w:style w:type="character" w:styleId="lev">
    <w:name w:val="Strong"/>
    <w:basedOn w:val="Policepardfaut"/>
    <w:rPr>
      <w:b/>
      <w:bCs/>
    </w:rPr>
  </w:style>
  <w:style w:type="character" w:styleId="Accentuation">
    <w:name w:val="Emphasis"/>
    <w:basedOn w:val="Policepardfaut"/>
    <w:rPr>
      <w:i/>
      <w:iCs/>
    </w:rPr>
  </w:style>
  <w:style w:type="character" w:styleId="Accentuationlgre">
    <w:name w:val="Subtle Emphasis"/>
    <w:basedOn w:val="Policepardfaut"/>
    <w:rPr>
      <w:i/>
      <w:iCs/>
      <w:color w:val="808080"/>
    </w:rPr>
  </w:style>
  <w:style w:type="character" w:styleId="Rfrencelgre">
    <w:name w:val="Subtle Reference"/>
    <w:basedOn w:val="Policepardfaut"/>
    <w:rPr>
      <w:smallCaps/>
      <w:color w:val="E97132"/>
      <w:u w:val="single"/>
    </w:rPr>
  </w:style>
  <w:style w:type="character" w:styleId="Titredulivre">
    <w:name w:val="Book Title"/>
    <w:basedOn w:val="Policepardfaut"/>
    <w:rPr>
      <w:b/>
      <w:bCs/>
      <w:smallCaps/>
      <w:spacing w:val="5"/>
    </w:rPr>
  </w:style>
  <w:style w:type="paragraph" w:styleId="En-ttedetabledesmatires">
    <w:name w:val="TOC Heading"/>
    <w:basedOn w:val="Titre1"/>
    <w:next w:val="Normal"/>
    <w:pPr>
      <w:keepNext w:val="0"/>
      <w:keepLines w:val="0"/>
      <w:shd w:val="clear" w:color="auto" w:fill="BFBFBF"/>
      <w:tabs>
        <w:tab w:val="left" w:pos="360"/>
      </w:tabs>
      <w:spacing w:before="240" w:after="160" w:line="247" w:lineRule="auto"/>
    </w:pPr>
    <w:rPr>
      <w:rFonts w:eastAsia="Aptos" w:cs="Arial (Corps CS)"/>
      <w:b/>
      <w:bCs/>
      <w:caps/>
      <w:color w:val="000000"/>
      <w:sz w:val="24"/>
      <w:szCs w:val="24"/>
    </w:rPr>
  </w:style>
  <w:style w:type="paragraph" w:customStyle="1" w:styleId="Listepuces41">
    <w:name w:val="Liste à puces 41"/>
    <w:basedOn w:val="Normal"/>
    <w:pPr>
      <w:ind w:left="720" w:hanging="360"/>
      <w:contextualSpacing/>
    </w:pPr>
  </w:style>
  <w:style w:type="paragraph" w:customStyle="1" w:styleId="Listepuces51">
    <w:name w:val="Liste à puces 51"/>
    <w:basedOn w:val="Normal"/>
    <w:pPr>
      <w:tabs>
        <w:tab w:val="left" w:pos="360"/>
      </w:tabs>
      <w:ind w:left="360" w:hanging="360"/>
      <w:contextualSpacing/>
    </w:pPr>
  </w:style>
  <w:style w:type="paragraph" w:styleId="TM1">
    <w:name w:val="toc 1"/>
    <w:basedOn w:val="Normal"/>
    <w:next w:val="Normal"/>
    <w:autoRedefine/>
    <w:pPr>
      <w:spacing w:after="100"/>
    </w:pPr>
  </w:style>
  <w:style w:type="paragraph" w:styleId="TM2">
    <w:name w:val="toc 2"/>
    <w:basedOn w:val="Normal"/>
    <w:next w:val="Normal"/>
    <w:autoRedefine/>
    <w:pPr>
      <w:spacing w:after="100"/>
      <w:ind w:left="220"/>
    </w:pPr>
  </w:style>
  <w:style w:type="paragraph" w:styleId="TM3">
    <w:name w:val="toc 3"/>
    <w:basedOn w:val="Normal"/>
    <w:next w:val="Normal"/>
    <w:autoRedefine/>
    <w:pPr>
      <w:spacing w:after="100"/>
      <w:ind w:left="440"/>
    </w:pPr>
  </w:style>
  <w:style w:type="paragraph" w:styleId="TM4">
    <w:name w:val="toc 4"/>
    <w:basedOn w:val="Normal"/>
    <w:next w:val="Normal"/>
    <w:autoRedefine/>
    <w:pPr>
      <w:spacing w:after="100" w:line="240" w:lineRule="auto"/>
      <w:ind w:left="720"/>
    </w:pPr>
    <w:rPr>
      <w:sz w:val="24"/>
      <w:szCs w:val="24"/>
      <w:lang w:eastAsia="fr-FR"/>
    </w:rPr>
  </w:style>
  <w:style w:type="paragraph" w:styleId="TM5">
    <w:name w:val="toc 5"/>
    <w:basedOn w:val="Normal"/>
    <w:next w:val="Normal"/>
    <w:autoRedefine/>
    <w:pPr>
      <w:spacing w:after="100" w:line="240" w:lineRule="auto"/>
      <w:ind w:left="960"/>
    </w:pPr>
    <w:rPr>
      <w:sz w:val="24"/>
      <w:szCs w:val="24"/>
      <w:lang w:eastAsia="fr-FR"/>
    </w:rPr>
  </w:style>
  <w:style w:type="paragraph" w:styleId="TM6">
    <w:name w:val="toc 6"/>
    <w:basedOn w:val="Normal"/>
    <w:next w:val="Normal"/>
    <w:autoRedefine/>
    <w:pPr>
      <w:spacing w:after="100" w:line="240" w:lineRule="auto"/>
      <w:ind w:left="1200"/>
    </w:pPr>
    <w:rPr>
      <w:sz w:val="24"/>
      <w:szCs w:val="24"/>
      <w:lang w:eastAsia="fr-FR"/>
    </w:rPr>
  </w:style>
  <w:style w:type="paragraph" w:styleId="TM7">
    <w:name w:val="toc 7"/>
    <w:basedOn w:val="Normal"/>
    <w:next w:val="Normal"/>
    <w:autoRedefine/>
    <w:pPr>
      <w:spacing w:after="100" w:line="240" w:lineRule="auto"/>
      <w:ind w:left="1440"/>
    </w:pPr>
    <w:rPr>
      <w:sz w:val="24"/>
      <w:szCs w:val="24"/>
      <w:lang w:eastAsia="fr-FR"/>
    </w:rPr>
  </w:style>
  <w:style w:type="paragraph" w:styleId="TM8">
    <w:name w:val="toc 8"/>
    <w:basedOn w:val="Normal"/>
    <w:next w:val="Normal"/>
    <w:autoRedefine/>
    <w:pPr>
      <w:spacing w:after="100" w:line="240" w:lineRule="auto"/>
      <w:ind w:left="1680"/>
    </w:pPr>
    <w:rPr>
      <w:sz w:val="24"/>
      <w:szCs w:val="24"/>
      <w:lang w:eastAsia="fr-FR"/>
    </w:rPr>
  </w:style>
  <w:style w:type="paragraph" w:styleId="TM9">
    <w:name w:val="toc 9"/>
    <w:basedOn w:val="Normal"/>
    <w:next w:val="Normal"/>
    <w:autoRedefine/>
    <w:pPr>
      <w:spacing w:after="100" w:line="240" w:lineRule="auto"/>
      <w:ind w:left="1920"/>
    </w:pPr>
    <w:rPr>
      <w:sz w:val="24"/>
      <w:szCs w:val="24"/>
      <w:lang w:eastAsia="fr-FR"/>
    </w:rPr>
  </w:style>
  <w:style w:type="character" w:styleId="Lienhypertexte">
    <w:name w:val="Hyperlink"/>
    <w:basedOn w:val="Policepardfaut"/>
    <w:rPr>
      <w:color w:val="467886"/>
      <w:u w:val="single"/>
    </w:rPr>
  </w:style>
  <w:style w:type="character" w:styleId="Mentionnonrsolue">
    <w:name w:val="Unresolved Mention"/>
    <w:basedOn w:val="Policepardfaut"/>
    <w:rPr>
      <w:color w:val="605E5C"/>
      <w:shd w:val="clear" w:color="auto" w:fill="E1DFDD"/>
    </w:rPr>
  </w:style>
  <w:style w:type="paragraph" w:customStyle="1" w:styleId="NOM">
    <w:name w:val="NOM"/>
    <w:basedOn w:val="Paragraphedeliste"/>
    <w:pPr>
      <w:shd w:val="clear" w:color="auto" w:fill="BFBFBF"/>
      <w:jc w:val="center"/>
    </w:pPr>
    <w:rPr>
      <w:b/>
      <w:bCs/>
      <w:color w:val="000000"/>
      <w:sz w:val="28"/>
      <w:szCs w:val="28"/>
    </w:rPr>
  </w:style>
  <w:style w:type="paragraph" w:customStyle="1" w:styleId="Rfrence">
    <w:name w:val="Référence"/>
    <w:basedOn w:val="Paragraphedeliste"/>
    <w:pPr>
      <w:jc w:val="center"/>
    </w:pPr>
    <w:rPr>
      <w:bCs/>
      <w:i/>
      <w:color w:val="000000"/>
    </w:rPr>
  </w:style>
  <w:style w:type="paragraph" w:customStyle="1" w:styleId="OBJET">
    <w:name w:val="OBJET"/>
    <w:basedOn w:val="Paragraphedeliste"/>
    <w:pPr>
      <w:pBdr>
        <w:top w:val="single" w:sz="4" w:space="1" w:color="000000"/>
        <w:left w:val="single" w:sz="4" w:space="4" w:color="000000"/>
        <w:bottom w:val="single" w:sz="4" w:space="1" w:color="000000"/>
        <w:right w:val="single" w:sz="4" w:space="4" w:color="000000"/>
      </w:pBdr>
      <w:jc w:val="center"/>
    </w:pPr>
    <w:rPr>
      <w:b/>
      <w:bCs/>
      <w:color w:val="000000"/>
      <w:sz w:val="32"/>
      <w:szCs w:val="32"/>
    </w:rPr>
  </w:style>
  <w:style w:type="paragraph" w:customStyle="1" w:styleId="TexteN">
    <w:name w:val="TexteN"/>
    <w:basedOn w:val="Paragraphedeliste"/>
    <w:pPr>
      <w:jc w:val="center"/>
    </w:pPr>
    <w:rPr>
      <w:bCs/>
      <w:color w:val="000000"/>
      <w:sz w:val="20"/>
      <w:szCs w:val="20"/>
    </w:rPr>
  </w:style>
  <w:style w:type="character" w:styleId="Numrodepage">
    <w:name w:val="page number"/>
    <w:basedOn w:val="Policepardfaut"/>
  </w:style>
  <w:style w:type="paragraph" w:customStyle="1" w:styleId="Listepuces42">
    <w:name w:val="Liste à puces 42"/>
    <w:basedOn w:val="Normal"/>
    <w:pPr>
      <w:ind w:left="720" w:hanging="360"/>
      <w:contextualSpacing/>
    </w:pPr>
  </w:style>
  <w:style w:type="paragraph" w:customStyle="1" w:styleId="Listepuces52">
    <w:name w:val="Liste à puces 52"/>
    <w:basedOn w:val="Normal"/>
    <w:pPr>
      <w:ind w:left="360" w:hanging="360"/>
      <w:contextualSpacing/>
    </w:pPr>
  </w:style>
  <w:style w:type="paragraph" w:customStyle="1" w:styleId="ListBullet6">
    <w:name w:val="List Bullet 6"/>
    <w:basedOn w:val="Normal"/>
    <w:pPr>
      <w:ind w:left="360" w:hanging="360"/>
      <w:contextualSpacing/>
    </w:pPr>
  </w:style>
  <w:style w:type="paragraph" w:customStyle="1" w:styleId="ListBullet7">
    <w:name w:val="List Bullet 7"/>
    <w:basedOn w:val="Normal"/>
    <w:pPr>
      <w:ind w:left="720" w:hanging="360"/>
      <w:contextualSpacing/>
    </w:pPr>
  </w:style>
  <w:style w:type="paragraph" w:customStyle="1" w:styleId="ListBullet8">
    <w:name w:val="List Bullet 8"/>
    <w:basedOn w:val="Normal"/>
    <w:pPr>
      <w:ind w:left="720" w:hanging="360"/>
      <w:contextualSpacing/>
    </w:pPr>
  </w:style>
  <w:style w:type="paragraph" w:customStyle="1" w:styleId="ListBullet9">
    <w:name w:val="List Bullet 9"/>
    <w:basedOn w:val="Normal"/>
    <w:pPr>
      <w:ind w:left="720" w:hanging="360"/>
      <w:contextualSpacing/>
    </w:pPr>
  </w:style>
  <w:style w:type="character" w:styleId="Marquedecommentaire">
    <w:name w:val="annotation reference"/>
    <w:basedOn w:val="Policepardfaut"/>
    <w:rPr>
      <w:sz w:val="16"/>
      <w:szCs w:val="16"/>
    </w:rPr>
  </w:style>
  <w:style w:type="paragraph" w:styleId="Commentaire">
    <w:name w:val="annotation text"/>
    <w:basedOn w:val="Normal"/>
    <w:pPr>
      <w:spacing w:line="240" w:lineRule="auto"/>
    </w:pPr>
    <w:rPr>
      <w:sz w:val="20"/>
      <w:szCs w:val="20"/>
    </w:rPr>
  </w:style>
  <w:style w:type="character" w:customStyle="1" w:styleId="CommentaireCar">
    <w:name w:val="Commentaire Car"/>
    <w:basedOn w:val="Policepardfaut"/>
    <w:rPr>
      <w:rFonts w:ascii="Aptos Display" w:eastAsia="Times New Roman" w:hAnsi="Aptos Display"/>
      <w:kern w:val="0"/>
      <w:sz w:val="20"/>
      <w:szCs w:val="20"/>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rFonts w:ascii="Aptos Display" w:eastAsia="Times New Roman" w:hAnsi="Aptos Display"/>
      <w:b/>
      <w:bCs/>
      <w:kern w:val="0"/>
      <w:sz w:val="20"/>
      <w:szCs w:val="20"/>
    </w:rPr>
  </w:style>
  <w:style w:type="numbering" w:customStyle="1" w:styleId="LFO1">
    <w:name w:val="LFO1"/>
    <w:basedOn w:val="Aucuneliste"/>
    <w:pPr>
      <w:numPr>
        <w:numId w:val="1"/>
      </w:numPr>
    </w:pPr>
  </w:style>
  <w:style w:type="numbering" w:customStyle="1" w:styleId="LFO2">
    <w:name w:val="LFO2"/>
    <w:basedOn w:val="Aucuneliste"/>
    <w:pPr>
      <w:numPr>
        <w:numId w:val="2"/>
      </w:numPr>
    </w:pPr>
  </w:style>
  <w:style w:type="numbering" w:customStyle="1" w:styleId="LFO3">
    <w:name w:val="LFO3"/>
    <w:basedOn w:val="Aucuneliste"/>
    <w:pPr>
      <w:numPr>
        <w:numId w:val="3"/>
      </w:numPr>
    </w:pPr>
  </w:style>
  <w:style w:type="table" w:styleId="Grilledutableau">
    <w:name w:val="Table Grid"/>
    <w:basedOn w:val="TableauNormal"/>
    <w:uiPriority w:val="39"/>
    <w:rsid w:val="007442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1202</TotalTime>
  <Pages>25</Pages>
  <Words>11472</Words>
  <Characters>63101</Characters>
  <Application>Microsoft Office Word</Application>
  <DocSecurity>0</DocSecurity>
  <Lines>525</Lines>
  <Paragraphs>148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Citounadin</dc:creator>
  <dc:description/>
  <cp:lastModifiedBy>Sarah Citounadin</cp:lastModifiedBy>
  <cp:revision>8</cp:revision>
  <dcterms:created xsi:type="dcterms:W3CDTF">2026-02-09T18:44:00Z</dcterms:created>
  <dcterms:modified xsi:type="dcterms:W3CDTF">2026-03-04T12:44:00Z</dcterms:modified>
</cp:coreProperties>
</file>